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6C0F" w14:textId="584B4E74" w:rsidR="00160CB3" w:rsidRPr="00160CB3" w:rsidRDefault="00160CB3" w:rsidP="00160CB3">
      <w:pPr>
        <w:jc w:val="right"/>
        <w:rPr>
          <w:lang w:eastAsia="en-US"/>
        </w:rPr>
      </w:pPr>
      <w:r w:rsidRPr="00160CB3">
        <w:rPr>
          <w:b/>
          <w:lang w:eastAsia="en-US"/>
        </w:rPr>
        <w:t>Forward Plan reference number:</w:t>
      </w:r>
      <w:r w:rsidR="00305938">
        <w:rPr>
          <w:lang w:eastAsia="en-US"/>
        </w:rPr>
        <w:t xml:space="preserve"> </w:t>
      </w:r>
      <w:r w:rsidR="00EC41AB">
        <w:rPr>
          <w:rFonts w:ascii="ArialMT" w:hAnsi="ArialMT" w:cs="ArialMT"/>
        </w:rPr>
        <w:t>FP/AB/2</w:t>
      </w:r>
      <w:r w:rsidR="00486A74">
        <w:rPr>
          <w:rFonts w:ascii="ArialMT" w:hAnsi="ArialMT" w:cs="ArialMT"/>
        </w:rPr>
        <w:t>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567"/>
      </w:tblGrid>
      <w:tr w:rsidR="00160CB3" w:rsidRPr="00036C95" w14:paraId="0DD203B9" w14:textId="77777777" w:rsidTr="004E5CC8">
        <w:tc>
          <w:tcPr>
            <w:tcW w:w="9242" w:type="dxa"/>
            <w:gridSpan w:val="2"/>
            <w:shd w:val="clear" w:color="auto" w:fill="auto"/>
          </w:tcPr>
          <w:p w14:paraId="66D17DBF" w14:textId="4ED91B00" w:rsidR="00160CB3" w:rsidRPr="00160CB3" w:rsidRDefault="009E2FC7" w:rsidP="00EC41AB">
            <w:pPr>
              <w:autoSpaceDE w:val="0"/>
              <w:autoSpaceDN w:val="0"/>
              <w:adjustRightInd w:val="0"/>
              <w:spacing w:before="80" w:after="80"/>
              <w:rPr>
                <w:rFonts w:eastAsia="Times"/>
                <w:i/>
              </w:rPr>
            </w:pPr>
            <w:r>
              <w:rPr>
                <w:rFonts w:eastAsia="Times"/>
                <w:b/>
              </w:rPr>
              <w:t xml:space="preserve">Report title: </w:t>
            </w:r>
            <w:r w:rsidR="00EC41AB" w:rsidRPr="00EC41AB">
              <w:rPr>
                <w:rFonts w:eastAsia="Times"/>
              </w:rPr>
              <w:t>Groundworks and Scaffolding</w:t>
            </w:r>
            <w:r w:rsidR="00EC41AB">
              <w:rPr>
                <w:rFonts w:eastAsia="Times"/>
              </w:rPr>
              <w:t xml:space="preserve"> Training Centre </w:t>
            </w:r>
            <w:r w:rsidR="00305938" w:rsidRPr="00EC41AB">
              <w:rPr>
                <w:rFonts w:eastAsia="Times"/>
              </w:rPr>
              <w:t>LGF funding decision</w:t>
            </w:r>
          </w:p>
        </w:tc>
      </w:tr>
      <w:tr w:rsidR="00160CB3" w:rsidRPr="00036C95" w14:paraId="1BDCE38B" w14:textId="77777777" w:rsidTr="004E5CC8">
        <w:tc>
          <w:tcPr>
            <w:tcW w:w="9242" w:type="dxa"/>
            <w:gridSpan w:val="2"/>
            <w:shd w:val="clear" w:color="auto" w:fill="auto"/>
          </w:tcPr>
          <w:p w14:paraId="4CE582EF" w14:textId="1E31D9C0" w:rsidR="00160CB3" w:rsidRPr="00160CB3" w:rsidRDefault="00160CB3" w:rsidP="004E5CC8">
            <w:pPr>
              <w:autoSpaceDE w:val="0"/>
              <w:autoSpaceDN w:val="0"/>
              <w:adjustRightInd w:val="0"/>
              <w:spacing w:before="80" w:after="80"/>
              <w:rPr>
                <w:rFonts w:eastAsia="Times"/>
                <w:i/>
              </w:rPr>
            </w:pPr>
            <w:r w:rsidRPr="00160CB3">
              <w:rPr>
                <w:rFonts w:eastAsia="Times"/>
                <w:b/>
              </w:rPr>
              <w:t>Report to</w:t>
            </w:r>
            <w:r w:rsidRPr="004E5CC8">
              <w:rPr>
                <w:rFonts w:eastAsia="Times"/>
                <w:b/>
              </w:rPr>
              <w:t xml:space="preserve"> Accountability Board</w:t>
            </w:r>
            <w:r w:rsidR="00111756">
              <w:rPr>
                <w:rFonts w:eastAsia="Times"/>
                <w:b/>
              </w:rPr>
              <w:t xml:space="preserve"> on </w:t>
            </w:r>
            <w:r w:rsidR="004322B6">
              <w:rPr>
                <w:rFonts w:eastAsia="Times"/>
                <w:b/>
              </w:rPr>
              <w:t>14 February 2020</w:t>
            </w:r>
          </w:p>
        </w:tc>
      </w:tr>
      <w:tr w:rsidR="00160CB3" w:rsidRPr="00036C95" w14:paraId="41CB63FE" w14:textId="77777777" w:rsidTr="004E5CC8">
        <w:tc>
          <w:tcPr>
            <w:tcW w:w="9242" w:type="dxa"/>
            <w:gridSpan w:val="2"/>
            <w:shd w:val="clear" w:color="auto" w:fill="auto"/>
          </w:tcPr>
          <w:p w14:paraId="04120160" w14:textId="5285FB45" w:rsidR="00160CB3" w:rsidRPr="00305938" w:rsidRDefault="00160CB3" w:rsidP="00305938">
            <w:pPr>
              <w:autoSpaceDE w:val="0"/>
              <w:autoSpaceDN w:val="0"/>
              <w:adjustRightInd w:val="0"/>
              <w:spacing w:before="80" w:after="80"/>
              <w:rPr>
                <w:rFonts w:eastAsia="Times"/>
                <w:b/>
              </w:rPr>
            </w:pPr>
            <w:r w:rsidRPr="00305938">
              <w:rPr>
                <w:rFonts w:eastAsia="Times"/>
                <w:b/>
              </w:rPr>
              <w:t xml:space="preserve">Report author: </w:t>
            </w:r>
            <w:r w:rsidR="004322B6">
              <w:rPr>
                <w:rFonts w:eastAsia="Times"/>
              </w:rPr>
              <w:t>Howard Davies, Capital Programme Officer</w:t>
            </w:r>
          </w:p>
        </w:tc>
      </w:tr>
      <w:tr w:rsidR="00160CB3" w:rsidRPr="00036C95" w14:paraId="385692CB" w14:textId="77777777" w:rsidTr="004E5CC8">
        <w:tc>
          <w:tcPr>
            <w:tcW w:w="4561" w:type="dxa"/>
            <w:shd w:val="clear" w:color="auto" w:fill="auto"/>
          </w:tcPr>
          <w:p w14:paraId="32C7CFE1" w14:textId="4FD7583A" w:rsidR="00160CB3" w:rsidRPr="00305938" w:rsidRDefault="00160CB3" w:rsidP="00305938">
            <w:pPr>
              <w:autoSpaceDE w:val="0"/>
              <w:autoSpaceDN w:val="0"/>
              <w:adjustRightInd w:val="0"/>
              <w:spacing w:before="80" w:after="80"/>
              <w:rPr>
                <w:rFonts w:eastAsia="Times"/>
              </w:rPr>
            </w:pPr>
            <w:r w:rsidRPr="00305938">
              <w:rPr>
                <w:rFonts w:eastAsia="Times"/>
                <w:b/>
              </w:rPr>
              <w:t>Date</w:t>
            </w:r>
            <w:r w:rsidRPr="000B3B29">
              <w:rPr>
                <w:rFonts w:eastAsia="Times"/>
                <w:bCs/>
              </w:rPr>
              <w:t xml:space="preserve">: </w:t>
            </w:r>
            <w:r w:rsidR="00A55C1A">
              <w:rPr>
                <w:rFonts w:eastAsia="Times"/>
                <w:bCs/>
              </w:rPr>
              <w:t>3 February</w:t>
            </w:r>
            <w:r w:rsidR="00BC6BD0" w:rsidRPr="000B3B29">
              <w:rPr>
                <w:rFonts w:eastAsia="Times"/>
                <w:bCs/>
              </w:rPr>
              <w:t xml:space="preserve"> 2020</w:t>
            </w:r>
          </w:p>
        </w:tc>
        <w:tc>
          <w:tcPr>
            <w:tcW w:w="4681" w:type="dxa"/>
            <w:shd w:val="clear" w:color="auto" w:fill="auto"/>
          </w:tcPr>
          <w:p w14:paraId="367EC4F4" w14:textId="77777777" w:rsidR="00160CB3" w:rsidRPr="00305938" w:rsidRDefault="00160CB3" w:rsidP="00305938">
            <w:pPr>
              <w:autoSpaceDE w:val="0"/>
              <w:autoSpaceDN w:val="0"/>
              <w:adjustRightInd w:val="0"/>
              <w:spacing w:before="80" w:after="80"/>
              <w:rPr>
                <w:rFonts w:eastAsia="Times"/>
              </w:rPr>
            </w:pPr>
            <w:r w:rsidRPr="00305938">
              <w:rPr>
                <w:rFonts w:eastAsia="Times"/>
                <w:b/>
              </w:rPr>
              <w:t xml:space="preserve">For: </w:t>
            </w:r>
            <w:r w:rsidRPr="00305938">
              <w:rPr>
                <w:rFonts w:eastAsia="Times"/>
              </w:rPr>
              <w:t xml:space="preserve">Decision </w:t>
            </w:r>
          </w:p>
        </w:tc>
      </w:tr>
      <w:tr w:rsidR="00160CB3" w:rsidRPr="00036C95" w14:paraId="76B44380" w14:textId="77777777" w:rsidTr="004E5CC8">
        <w:tc>
          <w:tcPr>
            <w:tcW w:w="9242" w:type="dxa"/>
            <w:gridSpan w:val="2"/>
            <w:shd w:val="clear" w:color="auto" w:fill="auto"/>
          </w:tcPr>
          <w:p w14:paraId="6C4A3A87" w14:textId="7B1BF66F" w:rsidR="00305938" w:rsidRPr="003B26C4" w:rsidRDefault="00160CB3" w:rsidP="00305938">
            <w:pPr>
              <w:autoSpaceDE w:val="0"/>
              <w:autoSpaceDN w:val="0"/>
              <w:adjustRightInd w:val="0"/>
              <w:spacing w:before="80" w:after="80"/>
              <w:rPr>
                <w:rFonts w:eastAsia="Times"/>
              </w:rPr>
            </w:pPr>
            <w:r w:rsidRPr="00305938">
              <w:rPr>
                <w:rFonts w:eastAsia="Times"/>
                <w:b/>
              </w:rPr>
              <w:t xml:space="preserve">Enquiries </w:t>
            </w:r>
            <w:proofErr w:type="gramStart"/>
            <w:r w:rsidR="00A25699" w:rsidRPr="00305938">
              <w:rPr>
                <w:rFonts w:eastAsia="Times"/>
                <w:b/>
              </w:rPr>
              <w:t>to</w:t>
            </w:r>
            <w:r w:rsidR="00A25699">
              <w:rPr>
                <w:rFonts w:eastAsia="Times"/>
                <w:b/>
              </w:rPr>
              <w:t>:</w:t>
            </w:r>
            <w:proofErr w:type="gramEnd"/>
            <w:r w:rsidR="00F205C6">
              <w:rPr>
                <w:rFonts w:eastAsia="Times"/>
                <w:b/>
              </w:rPr>
              <w:t xml:space="preserve"> </w:t>
            </w:r>
            <w:r w:rsidR="004322B6">
              <w:rPr>
                <w:rFonts w:eastAsia="Times"/>
                <w:b/>
              </w:rPr>
              <w:t>Howard Davies, howard.davies@southeastlep.com</w:t>
            </w:r>
            <w:r w:rsidR="004322B6" w:rsidRPr="003B26C4">
              <w:rPr>
                <w:rFonts w:eastAsia="Times"/>
              </w:rPr>
              <w:t xml:space="preserve"> </w:t>
            </w:r>
          </w:p>
        </w:tc>
      </w:tr>
      <w:tr w:rsidR="00160CB3" w:rsidRPr="00F10EBD" w14:paraId="03AED081" w14:textId="77777777" w:rsidTr="004E5CC8">
        <w:tc>
          <w:tcPr>
            <w:tcW w:w="9242" w:type="dxa"/>
            <w:gridSpan w:val="2"/>
            <w:shd w:val="clear" w:color="auto" w:fill="auto"/>
          </w:tcPr>
          <w:p w14:paraId="7C8E8C71" w14:textId="38121DD8" w:rsidR="00160CB3" w:rsidRPr="00F10EBD" w:rsidRDefault="00160CB3" w:rsidP="00305938">
            <w:pPr>
              <w:autoSpaceDE w:val="0"/>
              <w:autoSpaceDN w:val="0"/>
              <w:adjustRightInd w:val="0"/>
              <w:spacing w:before="80" w:after="80"/>
              <w:rPr>
                <w:rFonts w:eastAsia="Times"/>
              </w:rPr>
            </w:pPr>
            <w:r w:rsidRPr="00F10EBD">
              <w:rPr>
                <w:rFonts w:eastAsia="Times"/>
                <w:b/>
              </w:rPr>
              <w:t xml:space="preserve">SELEP Partner Authority affected: </w:t>
            </w:r>
            <w:r w:rsidR="00111756">
              <w:rPr>
                <w:rFonts w:eastAsia="Times"/>
              </w:rPr>
              <w:t>Essex</w:t>
            </w:r>
          </w:p>
        </w:tc>
      </w:tr>
    </w:tbl>
    <w:p w14:paraId="6481854E" w14:textId="77777777" w:rsidR="00160CB3" w:rsidRDefault="00160CB3" w:rsidP="00160CB3">
      <w:pPr>
        <w:rPr>
          <w:lang w:eastAsia="en-US"/>
        </w:rPr>
      </w:pPr>
    </w:p>
    <w:p w14:paraId="57E3F420" w14:textId="77777777" w:rsidR="006872BC" w:rsidRPr="00F10EBD" w:rsidRDefault="006872BC" w:rsidP="00160CB3">
      <w:pPr>
        <w:rPr>
          <w:lang w:eastAsia="en-US"/>
        </w:rPr>
      </w:pPr>
    </w:p>
    <w:p w14:paraId="5F1953F4" w14:textId="77777777" w:rsidR="00160CB3" w:rsidRPr="00F10EBD" w:rsidRDefault="00160CB3" w:rsidP="00036C95">
      <w:pPr>
        <w:numPr>
          <w:ilvl w:val="0"/>
          <w:numId w:val="1"/>
        </w:numPr>
        <w:ind w:left="709" w:hanging="709"/>
        <w:contextualSpacing/>
        <w:rPr>
          <w:b/>
          <w:lang w:eastAsia="en-US"/>
        </w:rPr>
      </w:pPr>
      <w:r w:rsidRPr="00F10EBD">
        <w:rPr>
          <w:b/>
          <w:lang w:eastAsia="en-US"/>
        </w:rPr>
        <w:t>Purpose of Report</w:t>
      </w:r>
    </w:p>
    <w:p w14:paraId="69B699CB" w14:textId="77777777" w:rsidR="00160CB3" w:rsidRPr="00F10EBD" w:rsidRDefault="00160CB3" w:rsidP="00036C95">
      <w:pPr>
        <w:ind w:left="709" w:hanging="709"/>
        <w:rPr>
          <w:i/>
          <w:lang w:eastAsia="en-US"/>
        </w:rPr>
      </w:pPr>
    </w:p>
    <w:p w14:paraId="32E42F5D" w14:textId="452BD7EE" w:rsidR="004322B6" w:rsidRDefault="004322B6" w:rsidP="000D5467">
      <w:pPr>
        <w:pStyle w:val="ListParagraph"/>
        <w:numPr>
          <w:ilvl w:val="1"/>
          <w:numId w:val="3"/>
        </w:num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Pr="004322B6">
        <w:rPr>
          <w:rFonts w:ascii="Arial" w:hAnsi="Arial" w:cs="Arial"/>
          <w:szCs w:val="24"/>
        </w:rPr>
        <w:t xml:space="preserve">purpose of this report is to bring forward the revised scope of the </w:t>
      </w:r>
      <w:r>
        <w:rPr>
          <w:rFonts w:ascii="Arial" w:hAnsi="Arial" w:cs="Arial"/>
          <w:szCs w:val="24"/>
        </w:rPr>
        <w:t xml:space="preserve">Colchester </w:t>
      </w:r>
      <w:r w:rsidR="00BC6BD0">
        <w:rPr>
          <w:rFonts w:ascii="Arial" w:hAnsi="Arial" w:cs="Arial"/>
          <w:szCs w:val="24"/>
        </w:rPr>
        <w:t xml:space="preserve">Institute </w:t>
      </w:r>
      <w:r>
        <w:rPr>
          <w:rFonts w:ascii="Arial" w:hAnsi="Arial" w:cs="Arial"/>
          <w:szCs w:val="24"/>
        </w:rPr>
        <w:t>Groundworks and Scaffolding Training Centre</w:t>
      </w:r>
      <w:r w:rsidRPr="004322B6">
        <w:rPr>
          <w:rFonts w:ascii="Arial" w:hAnsi="Arial" w:cs="Arial"/>
          <w:szCs w:val="24"/>
        </w:rPr>
        <w:t xml:space="preserve"> (the Project) for </w:t>
      </w:r>
      <w:r w:rsidR="00BC6BD0">
        <w:rPr>
          <w:rFonts w:ascii="Arial" w:hAnsi="Arial" w:cs="Arial"/>
          <w:szCs w:val="24"/>
        </w:rPr>
        <w:t>consideration by</w:t>
      </w:r>
      <w:r w:rsidRPr="004322B6">
        <w:rPr>
          <w:rFonts w:ascii="Arial" w:hAnsi="Arial" w:cs="Arial"/>
          <w:szCs w:val="24"/>
        </w:rPr>
        <w:t xml:space="preserve"> the Accountability Board (the Board).</w:t>
      </w:r>
    </w:p>
    <w:p w14:paraId="1D39ECD1" w14:textId="77777777" w:rsidR="004322B6" w:rsidRDefault="004322B6" w:rsidP="004322B6">
      <w:pPr>
        <w:pStyle w:val="ListParagraph"/>
        <w:ind w:left="709"/>
        <w:rPr>
          <w:rFonts w:ascii="Arial" w:hAnsi="Arial" w:cs="Arial"/>
          <w:szCs w:val="24"/>
        </w:rPr>
      </w:pPr>
    </w:p>
    <w:p w14:paraId="3B206DF2" w14:textId="3FA7C070" w:rsidR="00411D97" w:rsidRDefault="00411D97" w:rsidP="000D5467">
      <w:pPr>
        <w:pStyle w:val="ListParagraph"/>
        <w:numPr>
          <w:ilvl w:val="1"/>
          <w:numId w:val="3"/>
        </w:num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Project was </w:t>
      </w:r>
      <w:r w:rsidR="00437592">
        <w:rPr>
          <w:rFonts w:ascii="Arial" w:hAnsi="Arial" w:cs="Arial"/>
          <w:szCs w:val="24"/>
        </w:rPr>
        <w:t>a</w:t>
      </w:r>
      <w:r w:rsidR="00BC6BD0">
        <w:rPr>
          <w:rFonts w:ascii="Arial" w:hAnsi="Arial" w:cs="Arial"/>
          <w:szCs w:val="24"/>
        </w:rPr>
        <w:t>warded</w:t>
      </w:r>
      <w:r w:rsidR="0068391E">
        <w:rPr>
          <w:rFonts w:ascii="Arial" w:hAnsi="Arial" w:cs="Arial"/>
          <w:szCs w:val="24"/>
        </w:rPr>
        <w:t xml:space="preserve"> £100,000</w:t>
      </w:r>
      <w:r w:rsidR="00437592">
        <w:rPr>
          <w:rFonts w:ascii="Arial" w:hAnsi="Arial" w:cs="Arial"/>
          <w:szCs w:val="24"/>
        </w:rPr>
        <w:t xml:space="preserve"> Local Growth Funding (LGF) by </w:t>
      </w:r>
      <w:r w:rsidR="000B3B29">
        <w:rPr>
          <w:rFonts w:ascii="Arial" w:hAnsi="Arial" w:cs="Arial"/>
          <w:szCs w:val="24"/>
        </w:rPr>
        <w:t>the Board</w:t>
      </w:r>
      <w:r w:rsidR="00437592">
        <w:rPr>
          <w:rFonts w:ascii="Arial" w:hAnsi="Arial" w:cs="Arial"/>
          <w:szCs w:val="24"/>
        </w:rPr>
        <w:t xml:space="preserve"> on 7 June 2019</w:t>
      </w:r>
      <w:r w:rsidR="00E16B5E">
        <w:rPr>
          <w:rFonts w:ascii="Arial" w:hAnsi="Arial" w:cs="Arial"/>
          <w:szCs w:val="24"/>
        </w:rPr>
        <w:t>.</w:t>
      </w:r>
    </w:p>
    <w:p w14:paraId="5275B437" w14:textId="77777777" w:rsidR="00437592" w:rsidRDefault="00437592" w:rsidP="00437592">
      <w:pPr>
        <w:pStyle w:val="ListParagraph"/>
        <w:ind w:left="709"/>
        <w:rPr>
          <w:rFonts w:ascii="Arial" w:hAnsi="Arial" w:cs="Arial"/>
          <w:szCs w:val="24"/>
        </w:rPr>
      </w:pPr>
    </w:p>
    <w:p w14:paraId="2A0FB253" w14:textId="033C3559" w:rsidR="00111756" w:rsidRDefault="00437592" w:rsidP="000D5467">
      <w:pPr>
        <w:pStyle w:val="ListParagraph"/>
        <w:numPr>
          <w:ilvl w:val="1"/>
          <w:numId w:val="3"/>
        </w:num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Project proposed to </w:t>
      </w:r>
      <w:r w:rsidR="00EC41AB">
        <w:rPr>
          <w:rFonts w:ascii="Arial" w:hAnsi="Arial" w:cs="Arial"/>
          <w:szCs w:val="24"/>
        </w:rPr>
        <w:t>delive</w:t>
      </w:r>
      <w:r>
        <w:rPr>
          <w:rFonts w:ascii="Arial" w:hAnsi="Arial" w:cs="Arial"/>
          <w:szCs w:val="24"/>
        </w:rPr>
        <w:t>r</w:t>
      </w:r>
      <w:r w:rsidR="00EC41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 </w:t>
      </w:r>
      <w:r w:rsidR="00EC41AB">
        <w:rPr>
          <w:rFonts w:ascii="Arial" w:hAnsi="Arial" w:cs="Arial"/>
          <w:szCs w:val="24"/>
        </w:rPr>
        <w:t>Groundworks and Scaffolding Training Centre at Colchester Institute</w:t>
      </w:r>
      <w:r w:rsidR="008B1D79">
        <w:rPr>
          <w:rFonts w:ascii="Arial" w:hAnsi="Arial" w:cs="Arial"/>
          <w:szCs w:val="24"/>
        </w:rPr>
        <w:t xml:space="preserve"> (the College)</w:t>
      </w:r>
      <w:r w:rsidR="00013455">
        <w:rPr>
          <w:rFonts w:ascii="Arial" w:hAnsi="Arial" w:cs="Arial"/>
          <w:szCs w:val="24"/>
        </w:rPr>
        <w:t>, Essex</w:t>
      </w:r>
      <w:r w:rsidR="00111756">
        <w:rPr>
          <w:rFonts w:ascii="Arial" w:hAnsi="Arial" w:cs="Arial"/>
          <w:szCs w:val="24"/>
        </w:rPr>
        <w:t xml:space="preserve">. </w:t>
      </w:r>
    </w:p>
    <w:p w14:paraId="30C31004" w14:textId="77777777" w:rsidR="00B458C7" w:rsidRDefault="00B458C7" w:rsidP="00B458C7">
      <w:pPr>
        <w:pStyle w:val="ListParagraph"/>
        <w:ind w:left="709"/>
        <w:rPr>
          <w:rFonts w:ascii="Arial" w:hAnsi="Arial" w:cs="Arial"/>
          <w:szCs w:val="24"/>
        </w:rPr>
      </w:pPr>
    </w:p>
    <w:p w14:paraId="610DAF17" w14:textId="13609173" w:rsidR="004446CC" w:rsidRDefault="004446CC">
      <w:r>
        <w:t>1.4</w:t>
      </w:r>
      <w:r>
        <w:tab/>
      </w:r>
      <w:r w:rsidR="00BC6BD0" w:rsidRPr="00BC6BD0">
        <w:t>A change request has been submitted to SELEP by the College which seeks</w:t>
      </w:r>
      <w:r w:rsidR="00BC6BD0">
        <w:t xml:space="preserve"> </w:t>
      </w:r>
      <w:r>
        <w:tab/>
      </w:r>
      <w:r w:rsidR="00BC6BD0">
        <w:t xml:space="preserve">approval from the Board </w:t>
      </w:r>
      <w:r w:rsidR="00BC6BD0" w:rsidRPr="00BC6BD0">
        <w:t xml:space="preserve">to </w:t>
      </w:r>
      <w:r w:rsidR="00B458C7" w:rsidRPr="00BC6BD0">
        <w:t xml:space="preserve">rework the </w:t>
      </w:r>
      <w:r w:rsidR="00BC6BD0" w:rsidRPr="00BC6BD0">
        <w:t>P</w:t>
      </w:r>
      <w:r w:rsidR="00B458C7" w:rsidRPr="00BC6BD0">
        <w:t xml:space="preserve">roject scope to remove the </w:t>
      </w:r>
      <w:r>
        <w:tab/>
      </w:r>
      <w:r w:rsidR="00BC6BD0" w:rsidRPr="00BC6BD0">
        <w:t>s</w:t>
      </w:r>
      <w:r w:rsidR="00B458C7" w:rsidRPr="00BC6BD0">
        <w:t xml:space="preserve">caffolding element from the </w:t>
      </w:r>
      <w:r w:rsidR="00BC6BD0" w:rsidRPr="00BC6BD0">
        <w:t>P</w:t>
      </w:r>
      <w:r w:rsidR="00B458C7" w:rsidRPr="00BC6BD0">
        <w:t>roject</w:t>
      </w:r>
      <w:r w:rsidR="005E4BDE">
        <w:t>.</w:t>
      </w:r>
    </w:p>
    <w:p w14:paraId="0C021045" w14:textId="77777777" w:rsidR="004446CC" w:rsidRDefault="004446CC" w:rsidP="004446CC"/>
    <w:p w14:paraId="3C8572BD" w14:textId="28C778A2" w:rsidR="00B458C7" w:rsidRPr="00BC6BD0" w:rsidRDefault="004446CC" w:rsidP="004446CC">
      <w:r>
        <w:t>1.5</w:t>
      </w:r>
      <w:r>
        <w:tab/>
      </w:r>
      <w:r w:rsidR="005E4BDE">
        <w:t xml:space="preserve">The new downgraded </w:t>
      </w:r>
      <w:r w:rsidR="00B07298">
        <w:t>P</w:t>
      </w:r>
      <w:r w:rsidR="005E4BDE">
        <w:t>roject scope would reduce</w:t>
      </w:r>
      <w:r w:rsidR="005E4BDE" w:rsidRPr="00BC6BD0">
        <w:t xml:space="preserve"> </w:t>
      </w:r>
      <w:r w:rsidR="00B458C7" w:rsidRPr="00BC6BD0">
        <w:t xml:space="preserve">the </w:t>
      </w:r>
      <w:r w:rsidR="00B07298">
        <w:t>P</w:t>
      </w:r>
      <w:r w:rsidR="00B458C7" w:rsidRPr="00BC6BD0">
        <w:t>roject funding ask</w:t>
      </w:r>
      <w:r w:rsidR="0007354F">
        <w:t>,</w:t>
      </w:r>
      <w:r w:rsidR="00B458C7" w:rsidRPr="00BC6BD0">
        <w:t xml:space="preserve"> </w:t>
      </w:r>
      <w:r w:rsidR="0069777C">
        <w:tab/>
      </w:r>
      <w:r w:rsidR="00B458C7" w:rsidRPr="00BC6BD0">
        <w:t xml:space="preserve">commensurate to the level of project outcomes but increasing the scope of </w:t>
      </w:r>
      <w:r w:rsidR="0069777C">
        <w:tab/>
      </w:r>
      <w:r w:rsidR="00B458C7" w:rsidRPr="00BC6BD0">
        <w:t>the Groundworks programme</w:t>
      </w:r>
      <w:r>
        <w:t xml:space="preserve">. This will deliver a three month ‘Entry to </w:t>
      </w:r>
      <w:r w:rsidR="0069777C">
        <w:tab/>
      </w:r>
      <w:r>
        <w:t xml:space="preserve">Apprenticeship’ programme to help ensure that candidates are committed to </w:t>
      </w:r>
      <w:r w:rsidR="0069777C">
        <w:tab/>
      </w:r>
      <w:r>
        <w:t>the apprenticeship over the long term.</w:t>
      </w:r>
      <w:r w:rsidR="00B458C7" w:rsidRPr="00BC6BD0">
        <w:t xml:space="preserve"> </w:t>
      </w:r>
      <w:r w:rsidR="007E2B1B" w:rsidRPr="00BC6BD0">
        <w:t xml:space="preserve">The new Project is to be renamed </w:t>
      </w:r>
      <w:r w:rsidR="0069777C">
        <w:tab/>
      </w:r>
      <w:r w:rsidR="007E2B1B" w:rsidRPr="00BC6BD0">
        <w:t>‘Groundworks Training Academy’</w:t>
      </w:r>
    </w:p>
    <w:p w14:paraId="03E67C7F" w14:textId="77777777" w:rsidR="00111756" w:rsidRDefault="00111756" w:rsidP="00111756">
      <w:pPr>
        <w:pStyle w:val="ListParagraph"/>
        <w:ind w:left="709"/>
        <w:rPr>
          <w:rFonts w:ascii="Arial" w:hAnsi="Arial" w:cs="Arial"/>
          <w:szCs w:val="24"/>
        </w:rPr>
      </w:pPr>
    </w:p>
    <w:p w14:paraId="5468F6DD" w14:textId="40A93CD4" w:rsidR="00111756" w:rsidRPr="004446CC" w:rsidRDefault="004446CC" w:rsidP="004446CC">
      <w:r>
        <w:t>1.6</w:t>
      </w:r>
      <w:r>
        <w:tab/>
      </w:r>
      <w:r w:rsidR="00B458C7" w:rsidRPr="004446CC">
        <w:t>The Change R</w:t>
      </w:r>
      <w:r w:rsidR="00437592" w:rsidRPr="004446CC">
        <w:t xml:space="preserve">equest provided by the College has been considered through </w:t>
      </w:r>
      <w:r>
        <w:tab/>
      </w:r>
      <w:r w:rsidR="00437592" w:rsidRPr="004446CC">
        <w:t>the Independent Technical Evaluation (ITE) process and the</w:t>
      </w:r>
      <w:r w:rsidR="00BC6BD0" w:rsidRPr="004446CC">
        <w:t xml:space="preserve"> amended scope </w:t>
      </w:r>
      <w:r>
        <w:tab/>
      </w:r>
      <w:r w:rsidR="00BC6BD0" w:rsidRPr="004446CC">
        <w:t>of the</w:t>
      </w:r>
      <w:r w:rsidR="00437592" w:rsidRPr="004446CC">
        <w:t xml:space="preserve"> </w:t>
      </w:r>
      <w:r w:rsidR="00411C52" w:rsidRPr="004446CC">
        <w:t xml:space="preserve">Project has been assessed as </w:t>
      </w:r>
      <w:r w:rsidR="00F550AE" w:rsidRPr="004446CC">
        <w:t>representing very high value for money</w:t>
      </w:r>
      <w:r w:rsidR="005E4BDE">
        <w:t>.</w:t>
      </w:r>
    </w:p>
    <w:p w14:paraId="0EA5B892" w14:textId="77777777" w:rsidR="005B29EA" w:rsidRPr="00F10EBD" w:rsidRDefault="005B29EA" w:rsidP="00111756">
      <w:pPr>
        <w:rPr>
          <w:lang w:eastAsia="en-US"/>
        </w:rPr>
      </w:pPr>
    </w:p>
    <w:p w14:paraId="3786F313" w14:textId="77777777" w:rsidR="00ED5EE8" w:rsidRDefault="00160CB3" w:rsidP="00ED5EE8">
      <w:pPr>
        <w:numPr>
          <w:ilvl w:val="0"/>
          <w:numId w:val="1"/>
        </w:numPr>
        <w:ind w:left="709" w:hanging="709"/>
        <w:contextualSpacing/>
        <w:rPr>
          <w:b/>
          <w:lang w:eastAsia="en-US"/>
        </w:rPr>
      </w:pPr>
      <w:r w:rsidRPr="00F10EBD">
        <w:rPr>
          <w:b/>
          <w:lang w:eastAsia="en-US"/>
        </w:rPr>
        <w:t>Recommendations</w:t>
      </w:r>
    </w:p>
    <w:p w14:paraId="4F27FA7D" w14:textId="77777777" w:rsidR="000555C8" w:rsidRDefault="000555C8" w:rsidP="000555C8">
      <w:pPr>
        <w:ind w:left="709"/>
        <w:contextualSpacing/>
        <w:rPr>
          <w:b/>
          <w:lang w:eastAsia="en-US"/>
        </w:rPr>
      </w:pPr>
    </w:p>
    <w:p w14:paraId="4BC17E67" w14:textId="6825F08C" w:rsidR="00ED5EE8" w:rsidRPr="00ED5EE8" w:rsidRDefault="00160CB3" w:rsidP="000555C8">
      <w:pPr>
        <w:numPr>
          <w:ilvl w:val="1"/>
          <w:numId w:val="1"/>
        </w:numPr>
        <w:ind w:left="709" w:hanging="709"/>
        <w:contextualSpacing/>
        <w:rPr>
          <w:b/>
          <w:lang w:eastAsia="en-US"/>
        </w:rPr>
      </w:pPr>
      <w:r w:rsidRPr="00F10EBD">
        <w:rPr>
          <w:lang w:eastAsia="en-US"/>
        </w:rPr>
        <w:t>The Board is asked to</w:t>
      </w:r>
      <w:r w:rsidR="004477D3">
        <w:rPr>
          <w:lang w:eastAsia="en-US"/>
        </w:rPr>
        <w:t>:</w:t>
      </w:r>
    </w:p>
    <w:p w14:paraId="591B0BF5" w14:textId="77777777" w:rsidR="00ED5EE8" w:rsidRDefault="00ED5EE8" w:rsidP="005B0E18">
      <w:pPr>
        <w:ind w:left="432"/>
        <w:contextualSpacing/>
        <w:rPr>
          <w:b/>
          <w:lang w:eastAsia="en-US"/>
        </w:rPr>
      </w:pPr>
    </w:p>
    <w:p w14:paraId="43B23078" w14:textId="29B9519E" w:rsidR="00B458C7" w:rsidRPr="00F550AE" w:rsidRDefault="00111756" w:rsidP="000555C8">
      <w:pPr>
        <w:numPr>
          <w:ilvl w:val="2"/>
          <w:numId w:val="1"/>
        </w:numPr>
        <w:ind w:left="1418" w:hanging="709"/>
        <w:contextualSpacing/>
        <w:rPr>
          <w:b/>
          <w:lang w:eastAsia="en-US"/>
        </w:rPr>
      </w:pPr>
      <w:r>
        <w:rPr>
          <w:b/>
          <w:lang w:eastAsia="en-US"/>
        </w:rPr>
        <w:t>A</w:t>
      </w:r>
      <w:r w:rsidR="00411C52">
        <w:rPr>
          <w:b/>
          <w:lang w:eastAsia="en-US"/>
        </w:rPr>
        <w:t xml:space="preserve">pprove </w:t>
      </w:r>
      <w:r w:rsidR="00411C52" w:rsidRPr="00B458C7">
        <w:rPr>
          <w:lang w:eastAsia="en-US"/>
        </w:rPr>
        <w:t xml:space="preserve">the change </w:t>
      </w:r>
      <w:r w:rsidR="001A42D6" w:rsidRPr="00B458C7">
        <w:rPr>
          <w:lang w:eastAsia="en-US"/>
        </w:rPr>
        <w:t>o</w:t>
      </w:r>
      <w:r w:rsidR="00411C52" w:rsidRPr="00B458C7">
        <w:rPr>
          <w:lang w:eastAsia="en-US"/>
        </w:rPr>
        <w:t>f scope for the Project</w:t>
      </w:r>
      <w:r w:rsidR="00B458C7">
        <w:rPr>
          <w:lang w:eastAsia="en-US"/>
        </w:rPr>
        <w:t xml:space="preserve"> which has been assessed by the ITE as presenting high value for money with high certainty of achieving this.</w:t>
      </w:r>
    </w:p>
    <w:p w14:paraId="457CD8BD" w14:textId="77777777" w:rsidR="00F550AE" w:rsidRPr="00B458C7" w:rsidRDefault="00F550AE" w:rsidP="00F550AE">
      <w:pPr>
        <w:ind w:left="1418"/>
        <w:contextualSpacing/>
        <w:rPr>
          <w:b/>
          <w:lang w:eastAsia="en-US"/>
        </w:rPr>
      </w:pPr>
    </w:p>
    <w:p w14:paraId="4C0C4545" w14:textId="3E279E7B" w:rsidR="00111756" w:rsidRPr="00F550AE" w:rsidRDefault="00B458C7" w:rsidP="000555C8">
      <w:pPr>
        <w:numPr>
          <w:ilvl w:val="2"/>
          <w:numId w:val="1"/>
        </w:numPr>
        <w:ind w:left="1418" w:hanging="709"/>
        <w:contextualSpacing/>
        <w:rPr>
          <w:b/>
          <w:lang w:eastAsia="en-US"/>
        </w:rPr>
      </w:pPr>
      <w:r>
        <w:rPr>
          <w:b/>
          <w:lang w:eastAsia="en-US"/>
        </w:rPr>
        <w:t>Approve</w:t>
      </w:r>
      <w:r w:rsidR="00111756">
        <w:rPr>
          <w:b/>
          <w:lang w:eastAsia="en-US"/>
        </w:rPr>
        <w:t xml:space="preserve"> </w:t>
      </w:r>
      <w:r w:rsidR="00EC41AB">
        <w:rPr>
          <w:lang w:eastAsia="en-US"/>
        </w:rPr>
        <w:t>the</w:t>
      </w:r>
      <w:r>
        <w:rPr>
          <w:lang w:eastAsia="en-US"/>
        </w:rPr>
        <w:t xml:space="preserve"> reduction</w:t>
      </w:r>
      <w:r w:rsidR="007E2B1B">
        <w:rPr>
          <w:lang w:eastAsia="en-US"/>
        </w:rPr>
        <w:t xml:space="preserve"> of funding to be</w:t>
      </w:r>
      <w:r w:rsidR="00EC41AB">
        <w:rPr>
          <w:lang w:eastAsia="en-US"/>
        </w:rPr>
        <w:t xml:space="preserve"> award</w:t>
      </w:r>
      <w:r w:rsidR="007E2B1B">
        <w:rPr>
          <w:lang w:eastAsia="en-US"/>
        </w:rPr>
        <w:t>ed</w:t>
      </w:r>
      <w:r w:rsidR="00EC41AB">
        <w:rPr>
          <w:lang w:eastAsia="en-US"/>
        </w:rPr>
        <w:t xml:space="preserve"> </w:t>
      </w:r>
      <w:r w:rsidR="007E2B1B">
        <w:rPr>
          <w:lang w:eastAsia="en-US"/>
        </w:rPr>
        <w:t>to</w:t>
      </w:r>
      <w:r w:rsidR="00EC41AB">
        <w:rPr>
          <w:lang w:eastAsia="en-US"/>
        </w:rPr>
        <w:t xml:space="preserve"> £</w:t>
      </w:r>
      <w:r>
        <w:rPr>
          <w:lang w:eastAsia="en-US"/>
        </w:rPr>
        <w:t>50</w:t>
      </w:r>
      <w:r w:rsidR="00EC41AB">
        <w:rPr>
          <w:lang w:eastAsia="en-US"/>
        </w:rPr>
        <w:t>,000</w:t>
      </w:r>
      <w:r w:rsidR="00111756" w:rsidRPr="00111756">
        <w:rPr>
          <w:lang w:eastAsia="en-US"/>
        </w:rPr>
        <w:t xml:space="preserve"> LGF to support the delivery of the Project</w:t>
      </w:r>
      <w:r w:rsidR="00F550AE">
        <w:rPr>
          <w:lang w:eastAsia="en-US"/>
        </w:rPr>
        <w:t>.</w:t>
      </w:r>
    </w:p>
    <w:p w14:paraId="78D28BE4" w14:textId="77777777" w:rsidR="00F550AE" w:rsidRPr="007E2B1B" w:rsidRDefault="00F550AE" w:rsidP="00F550AE">
      <w:pPr>
        <w:ind w:left="1418"/>
        <w:contextualSpacing/>
        <w:rPr>
          <w:b/>
          <w:lang w:eastAsia="en-US"/>
        </w:rPr>
      </w:pPr>
    </w:p>
    <w:p w14:paraId="1ED661E6" w14:textId="00F923FD" w:rsidR="007E2B1B" w:rsidRPr="00A25699" w:rsidRDefault="007E2B1B" w:rsidP="00111756">
      <w:pPr>
        <w:numPr>
          <w:ilvl w:val="2"/>
          <w:numId w:val="1"/>
        </w:numPr>
        <w:ind w:left="1418" w:hanging="709"/>
        <w:contextualSpacing/>
        <w:rPr>
          <w:b/>
          <w:lang w:eastAsia="en-US"/>
        </w:rPr>
      </w:pPr>
      <w:r w:rsidRPr="00BC6BD0">
        <w:rPr>
          <w:b/>
          <w:lang w:eastAsia="en-US"/>
        </w:rPr>
        <w:t xml:space="preserve">Note </w:t>
      </w:r>
      <w:r>
        <w:rPr>
          <w:lang w:eastAsia="en-US"/>
        </w:rPr>
        <w:t xml:space="preserve">that the </w:t>
      </w:r>
      <w:r w:rsidR="00F550AE">
        <w:rPr>
          <w:lang w:eastAsia="en-US"/>
        </w:rPr>
        <w:t>remaining</w:t>
      </w:r>
      <w:r>
        <w:rPr>
          <w:lang w:eastAsia="en-US"/>
        </w:rPr>
        <w:t xml:space="preserve"> £50,000 will be returned to the LGF pot to be </w:t>
      </w:r>
      <w:r w:rsidR="00BC6BD0">
        <w:rPr>
          <w:lang w:eastAsia="en-US"/>
        </w:rPr>
        <w:t>reallocated</w:t>
      </w:r>
      <w:r>
        <w:rPr>
          <w:lang w:eastAsia="en-US"/>
        </w:rPr>
        <w:t xml:space="preserve"> to </w:t>
      </w:r>
      <w:r w:rsidR="00F550AE">
        <w:rPr>
          <w:lang w:eastAsia="en-US"/>
        </w:rPr>
        <w:t>the next</w:t>
      </w:r>
      <w:r>
        <w:rPr>
          <w:lang w:eastAsia="en-US"/>
        </w:rPr>
        <w:t xml:space="preserve"> </w:t>
      </w:r>
      <w:r w:rsidR="00BC6BD0">
        <w:rPr>
          <w:lang w:eastAsia="en-US"/>
        </w:rPr>
        <w:t>p</w:t>
      </w:r>
      <w:r>
        <w:rPr>
          <w:lang w:eastAsia="en-US"/>
        </w:rPr>
        <w:t>roject on the LGF3b pipeline</w:t>
      </w:r>
      <w:r w:rsidR="00BC6BD0">
        <w:rPr>
          <w:lang w:eastAsia="en-US"/>
        </w:rPr>
        <w:t>.</w:t>
      </w:r>
    </w:p>
    <w:p w14:paraId="5795C029" w14:textId="77777777" w:rsidR="007E2B1B" w:rsidRPr="00F10EBD" w:rsidRDefault="007E2B1B" w:rsidP="00111756">
      <w:pPr>
        <w:contextualSpacing/>
        <w:rPr>
          <w:b/>
          <w:lang w:eastAsia="en-US"/>
        </w:rPr>
      </w:pPr>
    </w:p>
    <w:p w14:paraId="2DB6C3FB" w14:textId="6475D483" w:rsidR="00075C9A" w:rsidRDefault="005F11D6" w:rsidP="00075C9A">
      <w:pPr>
        <w:numPr>
          <w:ilvl w:val="0"/>
          <w:numId w:val="1"/>
        </w:numPr>
        <w:ind w:left="709" w:hanging="709"/>
        <w:contextualSpacing/>
        <w:rPr>
          <w:b/>
          <w:lang w:eastAsia="en-US"/>
        </w:rPr>
      </w:pPr>
      <w:r>
        <w:rPr>
          <w:b/>
          <w:lang w:eastAsia="en-US"/>
        </w:rPr>
        <w:t xml:space="preserve">Background </w:t>
      </w:r>
      <w:r w:rsidR="0069777C">
        <w:rPr>
          <w:b/>
          <w:lang w:eastAsia="en-US"/>
        </w:rPr>
        <w:t>–</w:t>
      </w:r>
      <w:r>
        <w:rPr>
          <w:b/>
          <w:lang w:eastAsia="en-US"/>
        </w:rPr>
        <w:t xml:space="preserve"> </w:t>
      </w:r>
      <w:r w:rsidR="00075C9A">
        <w:rPr>
          <w:b/>
          <w:lang w:eastAsia="en-US"/>
        </w:rPr>
        <w:t>Groundworks and Scaffolding Training Centre</w:t>
      </w:r>
    </w:p>
    <w:p w14:paraId="60B0B372" w14:textId="75E108C2" w:rsidR="00075C9A" w:rsidRDefault="00075C9A" w:rsidP="00075C9A">
      <w:pPr>
        <w:contextualSpacing/>
        <w:rPr>
          <w:b/>
          <w:lang w:eastAsia="en-US"/>
        </w:rPr>
      </w:pPr>
    </w:p>
    <w:p w14:paraId="5519F8CE" w14:textId="7C39DBC8" w:rsidR="00075C9A" w:rsidRDefault="00075C9A" w:rsidP="00075C9A">
      <w:pPr>
        <w:contextualSpacing/>
        <w:rPr>
          <w:bCs/>
          <w:lang w:eastAsia="en-US"/>
        </w:rPr>
      </w:pPr>
      <w:r>
        <w:rPr>
          <w:bCs/>
          <w:lang w:eastAsia="en-US"/>
        </w:rPr>
        <w:t>3.1</w:t>
      </w:r>
      <w:r>
        <w:rPr>
          <w:bCs/>
          <w:lang w:eastAsia="en-US"/>
        </w:rPr>
        <w:tab/>
        <w:t xml:space="preserve">The original </w:t>
      </w:r>
      <w:r w:rsidR="00B07298">
        <w:rPr>
          <w:bCs/>
          <w:lang w:eastAsia="en-US"/>
        </w:rPr>
        <w:t>P</w:t>
      </w:r>
      <w:r>
        <w:rPr>
          <w:bCs/>
          <w:lang w:eastAsia="en-US"/>
        </w:rPr>
        <w:t>roject scope</w:t>
      </w:r>
      <w:r w:rsidR="00A25699">
        <w:rPr>
          <w:bCs/>
          <w:lang w:eastAsia="en-US"/>
        </w:rPr>
        <w:t>, reviewed by the Board in June 2019,</w:t>
      </w:r>
      <w:r>
        <w:rPr>
          <w:bCs/>
          <w:lang w:eastAsia="en-US"/>
        </w:rPr>
        <w:t xml:space="preserve"> was </w:t>
      </w:r>
      <w:r w:rsidR="00BE7043">
        <w:rPr>
          <w:bCs/>
          <w:lang w:eastAsia="en-US"/>
        </w:rPr>
        <w:tab/>
      </w:r>
      <w:r>
        <w:rPr>
          <w:bCs/>
          <w:lang w:eastAsia="en-US"/>
        </w:rPr>
        <w:t xml:space="preserve">aimed at complementing the existing construction training facilities and </w:t>
      </w:r>
      <w:r w:rsidR="00A25699">
        <w:rPr>
          <w:bCs/>
          <w:lang w:eastAsia="en-US"/>
        </w:rPr>
        <w:tab/>
      </w:r>
      <w:r>
        <w:rPr>
          <w:bCs/>
          <w:lang w:eastAsia="en-US"/>
        </w:rPr>
        <w:t>looked to counter the identified barriers facing the construction sector.</w:t>
      </w:r>
    </w:p>
    <w:p w14:paraId="6D8352BB" w14:textId="6209CB57" w:rsidR="00075C9A" w:rsidRDefault="00075C9A" w:rsidP="00075C9A">
      <w:pPr>
        <w:contextualSpacing/>
        <w:rPr>
          <w:bCs/>
          <w:lang w:eastAsia="en-US"/>
        </w:rPr>
      </w:pPr>
    </w:p>
    <w:p w14:paraId="2CCAA8BD" w14:textId="52B193C5" w:rsidR="00075C9A" w:rsidRDefault="00075C9A" w:rsidP="00075C9A">
      <w:pPr>
        <w:contextualSpacing/>
        <w:rPr>
          <w:lang w:eastAsia="en-US"/>
        </w:rPr>
      </w:pPr>
      <w:r>
        <w:rPr>
          <w:bCs/>
          <w:lang w:eastAsia="en-US"/>
        </w:rPr>
        <w:t>3.2</w:t>
      </w:r>
      <w:r>
        <w:rPr>
          <w:bCs/>
          <w:lang w:eastAsia="en-US"/>
        </w:rPr>
        <w:tab/>
      </w:r>
      <w:r w:rsidR="00A25699">
        <w:rPr>
          <w:bCs/>
          <w:lang w:eastAsia="en-US"/>
        </w:rPr>
        <w:t xml:space="preserve">The previous report </w:t>
      </w:r>
      <w:r>
        <w:rPr>
          <w:bCs/>
          <w:lang w:eastAsia="en-US"/>
        </w:rPr>
        <w:t xml:space="preserve">highlighted that in </w:t>
      </w:r>
      <w:r>
        <w:rPr>
          <w:lang w:eastAsia="en-US"/>
        </w:rPr>
        <w:t xml:space="preserve">Essex alone, Employment and Skills </w:t>
      </w:r>
      <w:r w:rsidR="00A25699">
        <w:rPr>
          <w:lang w:eastAsia="en-US"/>
        </w:rPr>
        <w:tab/>
      </w:r>
      <w:r>
        <w:rPr>
          <w:lang w:eastAsia="en-US"/>
        </w:rPr>
        <w:t xml:space="preserve">Board evidence suggests the need for 44,000 new recruits from within the </w:t>
      </w:r>
      <w:r w:rsidR="00A25699">
        <w:rPr>
          <w:lang w:eastAsia="en-US"/>
        </w:rPr>
        <w:tab/>
      </w:r>
      <w:r>
        <w:rPr>
          <w:lang w:eastAsia="en-US"/>
        </w:rPr>
        <w:t xml:space="preserve">Essex construction sector by 2021 and within Greater London there is </w:t>
      </w:r>
      <w:r w:rsidR="00A25699">
        <w:rPr>
          <w:lang w:eastAsia="en-US"/>
        </w:rPr>
        <w:tab/>
      </w:r>
      <w:r>
        <w:rPr>
          <w:lang w:eastAsia="en-US"/>
        </w:rPr>
        <w:t>already a shortfall of 40,000 skilled construction workers.</w:t>
      </w:r>
    </w:p>
    <w:p w14:paraId="28FF58F9" w14:textId="67051A80" w:rsidR="00075C9A" w:rsidRDefault="00075C9A" w:rsidP="00075C9A">
      <w:pPr>
        <w:contextualSpacing/>
        <w:rPr>
          <w:lang w:eastAsia="en-US"/>
        </w:rPr>
      </w:pPr>
    </w:p>
    <w:p w14:paraId="49D69CBB" w14:textId="19D10BDC" w:rsidR="00075C9A" w:rsidRDefault="00075C9A" w:rsidP="00075C9A">
      <w:pPr>
        <w:contextualSpacing/>
        <w:rPr>
          <w:lang w:eastAsia="en-US"/>
        </w:rPr>
      </w:pPr>
      <w:r>
        <w:rPr>
          <w:lang w:eastAsia="en-US"/>
        </w:rPr>
        <w:t>3.3</w:t>
      </w:r>
      <w:r>
        <w:rPr>
          <w:lang w:eastAsia="en-US"/>
        </w:rPr>
        <w:tab/>
        <w:t xml:space="preserve">With </w:t>
      </w:r>
      <w:proofErr w:type="gramStart"/>
      <w:r>
        <w:rPr>
          <w:lang w:eastAsia="en-US"/>
        </w:rPr>
        <w:t>a large number of</w:t>
      </w:r>
      <w:proofErr w:type="gramEnd"/>
      <w:r>
        <w:rPr>
          <w:lang w:eastAsia="en-US"/>
        </w:rPr>
        <w:t xml:space="preserve"> construction projects planned, including the three large </w:t>
      </w:r>
      <w:r>
        <w:rPr>
          <w:lang w:eastAsia="en-US"/>
        </w:rPr>
        <w:tab/>
        <w:t xml:space="preserve">North Essex garden communities and associated infrastructure, there would </w:t>
      </w:r>
      <w:r>
        <w:rPr>
          <w:lang w:eastAsia="en-US"/>
        </w:rPr>
        <w:tab/>
        <w:t xml:space="preserve">be a real pressure to create jobs in this sector. </w:t>
      </w:r>
    </w:p>
    <w:p w14:paraId="03C0BC16" w14:textId="13FC3E35" w:rsidR="00F255FA" w:rsidRDefault="00F255FA" w:rsidP="00075C9A">
      <w:pPr>
        <w:contextualSpacing/>
        <w:rPr>
          <w:lang w:eastAsia="en-US"/>
        </w:rPr>
      </w:pPr>
    </w:p>
    <w:p w14:paraId="4EEB4328" w14:textId="7C109A97" w:rsidR="00F255FA" w:rsidRDefault="00F255FA" w:rsidP="00075C9A">
      <w:pPr>
        <w:contextualSpacing/>
        <w:rPr>
          <w:lang w:eastAsia="en-US"/>
        </w:rPr>
      </w:pPr>
      <w:r>
        <w:rPr>
          <w:lang w:eastAsia="en-US"/>
        </w:rPr>
        <w:t>3.4</w:t>
      </w:r>
      <w:r>
        <w:rPr>
          <w:lang w:eastAsia="en-US"/>
        </w:rPr>
        <w:tab/>
        <w:t>The scope identified challenges around the following:</w:t>
      </w:r>
    </w:p>
    <w:p w14:paraId="24078C04" w14:textId="77777777" w:rsidR="00F255FA" w:rsidRDefault="00F255FA" w:rsidP="00075C9A">
      <w:pPr>
        <w:contextualSpacing/>
        <w:rPr>
          <w:lang w:eastAsia="en-US"/>
        </w:rPr>
      </w:pPr>
    </w:p>
    <w:p w14:paraId="59642363" w14:textId="64FA3B39" w:rsidR="00F255FA" w:rsidRDefault="00F255FA" w:rsidP="00F255FA">
      <w:pPr>
        <w:pStyle w:val="ListParagraph"/>
        <w:numPr>
          <w:ilvl w:val="0"/>
          <w:numId w:val="31"/>
        </w:numPr>
        <w:rPr>
          <w:rFonts w:ascii="Arial" w:hAnsi="Arial" w:cs="Arial"/>
          <w:bCs/>
          <w:lang w:eastAsia="en-US"/>
        </w:rPr>
      </w:pPr>
      <w:r w:rsidRPr="00F255FA">
        <w:rPr>
          <w:rFonts w:ascii="Arial" w:hAnsi="Arial" w:cs="Arial"/>
          <w:bCs/>
          <w:lang w:eastAsia="en-US"/>
        </w:rPr>
        <w:t>A lack of people looking to pursue careers in this sector</w:t>
      </w:r>
    </w:p>
    <w:p w14:paraId="3CB214CD" w14:textId="7BE50A44" w:rsidR="00F255FA" w:rsidRDefault="00F255FA" w:rsidP="00F255FA">
      <w:pPr>
        <w:pStyle w:val="ListParagraph"/>
        <w:numPr>
          <w:ilvl w:val="0"/>
          <w:numId w:val="31"/>
        </w:num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Few people in training</w:t>
      </w:r>
    </w:p>
    <w:p w14:paraId="1CC7C858" w14:textId="569123EE" w:rsidR="00F255FA" w:rsidRDefault="00F255FA" w:rsidP="00F255FA">
      <w:pPr>
        <w:pStyle w:val="ListParagraph"/>
        <w:numPr>
          <w:ilvl w:val="0"/>
          <w:numId w:val="31"/>
        </w:num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Challenges in recruiting tutors and assessors</w:t>
      </w:r>
    </w:p>
    <w:p w14:paraId="2A9B29F6" w14:textId="5776CBEA" w:rsidR="00F255FA" w:rsidRDefault="00F255FA" w:rsidP="00F255FA">
      <w:pPr>
        <w:pStyle w:val="ListParagraph"/>
        <w:numPr>
          <w:ilvl w:val="0"/>
          <w:numId w:val="31"/>
        </w:num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Training provision currently provide is not always what the industry wants</w:t>
      </w:r>
    </w:p>
    <w:p w14:paraId="3BE7047B" w14:textId="77777777" w:rsidR="00F255FA" w:rsidRDefault="00F255FA" w:rsidP="00F255FA">
      <w:pPr>
        <w:rPr>
          <w:bCs/>
          <w:lang w:eastAsia="en-US"/>
        </w:rPr>
      </w:pPr>
    </w:p>
    <w:p w14:paraId="0379AB0D" w14:textId="474EF5DD" w:rsidR="00F255FA" w:rsidRPr="00F255FA" w:rsidRDefault="00F255FA" w:rsidP="00F255FA">
      <w:pPr>
        <w:rPr>
          <w:bCs/>
          <w:lang w:eastAsia="en-US"/>
        </w:rPr>
      </w:pPr>
      <w:r>
        <w:rPr>
          <w:bCs/>
          <w:lang w:eastAsia="en-US"/>
        </w:rPr>
        <w:t>3.5</w:t>
      </w:r>
      <w:r>
        <w:rPr>
          <w:bCs/>
          <w:lang w:eastAsia="en-US"/>
        </w:rPr>
        <w:tab/>
        <w:t xml:space="preserve">The </w:t>
      </w:r>
      <w:r w:rsidR="00A25699" w:rsidRPr="00EC41AB">
        <w:rPr>
          <w:lang w:eastAsia="en-US"/>
        </w:rPr>
        <w:t xml:space="preserve">Project </w:t>
      </w:r>
      <w:r w:rsidR="00A25699">
        <w:rPr>
          <w:lang w:eastAsia="en-US"/>
        </w:rPr>
        <w:t>proposed to</w:t>
      </w:r>
      <w:r w:rsidR="00A25699" w:rsidRPr="00EC41AB">
        <w:rPr>
          <w:lang w:eastAsia="en-US"/>
        </w:rPr>
        <w:t xml:space="preserve"> create self- contained training areas supporting both </w:t>
      </w:r>
      <w:r w:rsidR="00A25699">
        <w:rPr>
          <w:lang w:eastAsia="en-US"/>
        </w:rPr>
        <w:tab/>
      </w:r>
      <w:r w:rsidR="00A25699" w:rsidRPr="00EC41AB">
        <w:rPr>
          <w:lang w:eastAsia="en-US"/>
        </w:rPr>
        <w:t xml:space="preserve">industry sectors with modular buildings to replicate site conditions. </w:t>
      </w:r>
      <w:r w:rsidR="00A25699">
        <w:rPr>
          <w:lang w:eastAsia="en-US"/>
        </w:rPr>
        <w:t xml:space="preserve">This </w:t>
      </w:r>
      <w:r w:rsidR="0007354F">
        <w:rPr>
          <w:lang w:eastAsia="en-US"/>
        </w:rPr>
        <w:t>would</w:t>
      </w:r>
      <w:r w:rsidR="00A25699">
        <w:rPr>
          <w:lang w:eastAsia="en-US"/>
        </w:rPr>
        <w:tab/>
        <w:t xml:space="preserve">provide a fit for purpose training centre that </w:t>
      </w:r>
      <w:r w:rsidR="0007354F">
        <w:rPr>
          <w:lang w:eastAsia="en-US"/>
        </w:rPr>
        <w:t xml:space="preserve">would </w:t>
      </w:r>
      <w:r w:rsidR="00A25699">
        <w:rPr>
          <w:lang w:eastAsia="en-US"/>
        </w:rPr>
        <w:t xml:space="preserve">introduce new entrants to </w:t>
      </w:r>
      <w:r w:rsidR="00A25699">
        <w:rPr>
          <w:lang w:eastAsia="en-US"/>
        </w:rPr>
        <w:tab/>
        <w:t>apprenticeships and up skill the existing workforce.</w:t>
      </w:r>
    </w:p>
    <w:p w14:paraId="1592ECEA" w14:textId="4342FA48" w:rsidR="00075C9A" w:rsidRDefault="00075C9A" w:rsidP="00075C9A">
      <w:pPr>
        <w:ind w:left="709"/>
        <w:contextualSpacing/>
        <w:rPr>
          <w:b/>
          <w:lang w:eastAsia="en-US"/>
        </w:rPr>
      </w:pPr>
      <w:r w:rsidRPr="00F255FA">
        <w:rPr>
          <w:b/>
          <w:lang w:eastAsia="en-US"/>
        </w:rPr>
        <w:tab/>
      </w:r>
      <w:r w:rsidRPr="00F255FA">
        <w:rPr>
          <w:b/>
          <w:lang w:eastAsia="en-US"/>
        </w:rPr>
        <w:tab/>
      </w:r>
    </w:p>
    <w:p w14:paraId="104E1988" w14:textId="77777777" w:rsidR="00075C9A" w:rsidRDefault="00075C9A" w:rsidP="00075C9A">
      <w:pPr>
        <w:ind w:left="709"/>
        <w:contextualSpacing/>
        <w:rPr>
          <w:b/>
          <w:lang w:eastAsia="en-US"/>
        </w:rPr>
      </w:pPr>
    </w:p>
    <w:p w14:paraId="017423CB" w14:textId="1F0A4B50" w:rsidR="00111756" w:rsidRDefault="00EC41AB" w:rsidP="00111756">
      <w:pPr>
        <w:numPr>
          <w:ilvl w:val="0"/>
          <w:numId w:val="1"/>
        </w:numPr>
        <w:ind w:left="709" w:hanging="709"/>
        <w:contextualSpacing/>
        <w:rPr>
          <w:b/>
          <w:lang w:eastAsia="en-US"/>
        </w:rPr>
      </w:pPr>
      <w:r>
        <w:rPr>
          <w:b/>
          <w:lang w:eastAsia="en-US"/>
        </w:rPr>
        <w:t xml:space="preserve">Groundworks </w:t>
      </w:r>
      <w:r w:rsidR="007E2B1B">
        <w:rPr>
          <w:b/>
          <w:lang w:eastAsia="en-US"/>
        </w:rPr>
        <w:t>Training Academy – Methodology behind the Change</w:t>
      </w:r>
    </w:p>
    <w:p w14:paraId="5816860A" w14:textId="77777777" w:rsidR="00EC41AB" w:rsidRPr="00EC41AB" w:rsidRDefault="00EC41AB" w:rsidP="00EC41AB">
      <w:pPr>
        <w:ind w:left="709"/>
        <w:contextualSpacing/>
        <w:rPr>
          <w:b/>
          <w:lang w:eastAsia="en-US"/>
        </w:rPr>
      </w:pPr>
    </w:p>
    <w:p w14:paraId="05F9A4B1" w14:textId="411EBE14" w:rsidR="007E2B1B" w:rsidRDefault="007E2B1B" w:rsidP="0009256E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>
        <w:rPr>
          <w:lang w:eastAsia="en-US"/>
        </w:rPr>
        <w:t xml:space="preserve">Since the original </w:t>
      </w:r>
      <w:r w:rsidR="00877034">
        <w:rPr>
          <w:lang w:eastAsia="en-US"/>
        </w:rPr>
        <w:t>Strategic Outline Business Case (SOBC) was written priorities for the College, driven by local employer needs, has shifted.</w:t>
      </w:r>
    </w:p>
    <w:p w14:paraId="536ECA93" w14:textId="77777777" w:rsidR="00877034" w:rsidRDefault="00877034" w:rsidP="00877034">
      <w:pPr>
        <w:ind w:left="709"/>
        <w:contextualSpacing/>
        <w:rPr>
          <w:lang w:eastAsia="en-US"/>
        </w:rPr>
      </w:pPr>
    </w:p>
    <w:p w14:paraId="77F12C54" w14:textId="7F581D00" w:rsidR="00877034" w:rsidRDefault="00877034" w:rsidP="0009256E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>
        <w:rPr>
          <w:lang w:eastAsia="en-US"/>
        </w:rPr>
        <w:t>The College’s commercial team has reported a drop in the level of employer interest/need in formal scaffolding training since the expression of interest (EOI) was</w:t>
      </w:r>
      <w:r w:rsidR="004E6EC3">
        <w:rPr>
          <w:lang w:eastAsia="en-US"/>
        </w:rPr>
        <w:t xml:space="preserve"> first</w:t>
      </w:r>
      <w:r>
        <w:rPr>
          <w:lang w:eastAsia="en-US"/>
        </w:rPr>
        <w:t xml:space="preserve"> developed in August 2018</w:t>
      </w:r>
      <w:r w:rsidR="004E6EC3">
        <w:rPr>
          <w:lang w:eastAsia="en-US"/>
        </w:rPr>
        <w:t xml:space="preserve"> to seek LGF investment</w:t>
      </w:r>
      <w:r>
        <w:rPr>
          <w:lang w:eastAsia="en-US"/>
        </w:rPr>
        <w:t>.</w:t>
      </w:r>
    </w:p>
    <w:p w14:paraId="52DE7A73" w14:textId="77777777" w:rsidR="00877034" w:rsidRDefault="00877034" w:rsidP="00877034">
      <w:pPr>
        <w:ind w:left="709"/>
        <w:contextualSpacing/>
        <w:rPr>
          <w:lang w:eastAsia="en-US"/>
        </w:rPr>
      </w:pPr>
    </w:p>
    <w:p w14:paraId="08BEB8A4" w14:textId="3B1121BE" w:rsidR="00877034" w:rsidRDefault="00877034" w:rsidP="0009256E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>
        <w:rPr>
          <w:lang w:eastAsia="en-US"/>
        </w:rPr>
        <w:t>There is an apparent lack of support for participation in the scaffolding steering group – the main project employer sponsor has fallen away, and the College has been unable to replace them.</w:t>
      </w:r>
    </w:p>
    <w:p w14:paraId="1B485051" w14:textId="77777777" w:rsidR="00877034" w:rsidRDefault="00877034" w:rsidP="00877034">
      <w:pPr>
        <w:ind w:left="709"/>
        <w:contextualSpacing/>
        <w:rPr>
          <w:lang w:eastAsia="en-US"/>
        </w:rPr>
      </w:pPr>
    </w:p>
    <w:p w14:paraId="0A70DFEA" w14:textId="3B3B0AE2" w:rsidR="00877034" w:rsidRDefault="004E6EC3" w:rsidP="00877034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>
        <w:rPr>
          <w:lang w:eastAsia="en-US"/>
        </w:rPr>
        <w:t xml:space="preserve">There is </w:t>
      </w:r>
      <w:r w:rsidR="007855F9">
        <w:rPr>
          <w:lang w:eastAsia="en-US"/>
        </w:rPr>
        <w:t>a lack</w:t>
      </w:r>
      <w:r w:rsidR="00877034" w:rsidRPr="00877034">
        <w:rPr>
          <w:lang w:eastAsia="en-US"/>
        </w:rPr>
        <w:t xml:space="preserve"> of interest in off-the-job scaffolding training generally as evidenced by a review of training being delivered by others in the region including </w:t>
      </w:r>
      <w:r w:rsidR="0007354F">
        <w:rPr>
          <w:lang w:eastAsia="en-US"/>
        </w:rPr>
        <w:t xml:space="preserve">the </w:t>
      </w:r>
      <w:r w:rsidR="00877034" w:rsidRPr="00877034">
        <w:rPr>
          <w:lang w:eastAsia="en-US"/>
        </w:rPr>
        <w:t>C</w:t>
      </w:r>
      <w:r w:rsidR="00F255FA">
        <w:rPr>
          <w:lang w:eastAsia="en-US"/>
        </w:rPr>
        <w:t xml:space="preserve">onstruction </w:t>
      </w:r>
      <w:r w:rsidR="00877034" w:rsidRPr="00877034">
        <w:rPr>
          <w:lang w:eastAsia="en-US"/>
        </w:rPr>
        <w:t>I</w:t>
      </w:r>
      <w:r w:rsidR="00F255FA">
        <w:rPr>
          <w:lang w:eastAsia="en-US"/>
        </w:rPr>
        <w:t xml:space="preserve">ndustry </w:t>
      </w:r>
      <w:r w:rsidR="00877034" w:rsidRPr="00877034">
        <w:rPr>
          <w:lang w:eastAsia="en-US"/>
        </w:rPr>
        <w:t>T</w:t>
      </w:r>
      <w:r w:rsidR="00F255FA">
        <w:rPr>
          <w:lang w:eastAsia="en-US"/>
        </w:rPr>
        <w:t xml:space="preserve">raining </w:t>
      </w:r>
      <w:r w:rsidR="00877034" w:rsidRPr="00877034">
        <w:rPr>
          <w:lang w:eastAsia="en-US"/>
        </w:rPr>
        <w:t>B</w:t>
      </w:r>
      <w:r w:rsidR="00F255FA">
        <w:rPr>
          <w:lang w:eastAsia="en-US"/>
        </w:rPr>
        <w:t>oard</w:t>
      </w:r>
      <w:r w:rsidR="00A25699">
        <w:rPr>
          <w:lang w:eastAsia="en-US"/>
        </w:rPr>
        <w:t xml:space="preserve"> (CITB)</w:t>
      </w:r>
      <w:r w:rsidR="00877034" w:rsidRPr="00877034">
        <w:rPr>
          <w:lang w:eastAsia="en-US"/>
        </w:rPr>
        <w:t xml:space="preserve">, </w:t>
      </w:r>
      <w:proofErr w:type="spellStart"/>
      <w:r w:rsidR="00877034" w:rsidRPr="00877034">
        <w:rPr>
          <w:lang w:eastAsia="en-US"/>
        </w:rPr>
        <w:t>Bircham</w:t>
      </w:r>
      <w:proofErr w:type="spellEnd"/>
      <w:r w:rsidR="00877034" w:rsidRPr="00877034">
        <w:rPr>
          <w:lang w:eastAsia="en-US"/>
        </w:rPr>
        <w:t xml:space="preserve"> Newton.  </w:t>
      </w:r>
      <w:r w:rsidR="00877034" w:rsidRPr="00877034">
        <w:rPr>
          <w:lang w:eastAsia="en-US"/>
        </w:rPr>
        <w:lastRenderedPageBreak/>
        <w:t>The College has identified that businesses are preferring on-site assessments to gain individual accreditations and re-accreditations</w:t>
      </w:r>
      <w:r w:rsidR="00877034">
        <w:rPr>
          <w:lang w:eastAsia="en-US"/>
        </w:rPr>
        <w:t>.</w:t>
      </w:r>
    </w:p>
    <w:p w14:paraId="518FC20A" w14:textId="77777777" w:rsidR="00877034" w:rsidRPr="00877034" w:rsidRDefault="00877034" w:rsidP="00877034">
      <w:pPr>
        <w:ind w:left="709"/>
        <w:contextualSpacing/>
        <w:rPr>
          <w:lang w:eastAsia="en-US"/>
        </w:rPr>
      </w:pPr>
    </w:p>
    <w:p w14:paraId="0DC116A9" w14:textId="631D53A5" w:rsidR="00F255FA" w:rsidRDefault="00B07298" w:rsidP="00877034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>
        <w:rPr>
          <w:lang w:eastAsia="en-US"/>
        </w:rPr>
        <w:t>The College</w:t>
      </w:r>
      <w:r w:rsidR="00F255FA">
        <w:rPr>
          <w:lang w:eastAsia="en-US"/>
        </w:rPr>
        <w:t xml:space="preserve"> have now realised that</w:t>
      </w:r>
      <w:r w:rsidR="00A4255D">
        <w:rPr>
          <w:lang w:eastAsia="en-US"/>
        </w:rPr>
        <w:t xml:space="preserve"> </w:t>
      </w:r>
      <w:r w:rsidR="00F255FA">
        <w:rPr>
          <w:lang w:eastAsia="en-US"/>
        </w:rPr>
        <w:t>there is a high level of difficulty</w:t>
      </w:r>
      <w:r w:rsidR="00A4255D">
        <w:rPr>
          <w:lang w:eastAsia="en-US"/>
        </w:rPr>
        <w:t xml:space="preserve"> needed to achieve accreditation to deliver the approved programmes for the scaffolding elements, including:</w:t>
      </w:r>
    </w:p>
    <w:p w14:paraId="1C747744" w14:textId="77777777" w:rsidR="00A4255D" w:rsidRDefault="00A4255D" w:rsidP="00A4255D">
      <w:pPr>
        <w:ind w:left="709"/>
        <w:contextualSpacing/>
        <w:rPr>
          <w:lang w:eastAsia="en-US"/>
        </w:rPr>
      </w:pPr>
    </w:p>
    <w:p w14:paraId="4337A59C" w14:textId="2E4FABF9" w:rsidR="00A4255D" w:rsidRDefault="000B3B29" w:rsidP="00A4255D">
      <w:pPr>
        <w:pStyle w:val="ListParagraph"/>
        <w:numPr>
          <w:ilvl w:val="0"/>
          <w:numId w:val="32"/>
        </w:numPr>
        <w:ind w:left="2127" w:hanging="327"/>
        <w:rPr>
          <w:rFonts w:ascii="Arial" w:hAnsi="Arial" w:cs="Arial"/>
          <w:lang w:eastAsia="en-US"/>
        </w:rPr>
      </w:pPr>
      <w:r w:rsidRPr="00A4255D">
        <w:rPr>
          <w:rFonts w:ascii="Arial" w:hAnsi="Arial" w:cs="Arial"/>
          <w:lang w:eastAsia="en-US"/>
        </w:rPr>
        <w:t>Facilities</w:t>
      </w:r>
      <w:r w:rsidR="00A4255D" w:rsidRPr="00A4255D">
        <w:rPr>
          <w:rFonts w:ascii="Arial" w:hAnsi="Arial" w:cs="Arial"/>
          <w:lang w:eastAsia="en-US"/>
        </w:rPr>
        <w:t xml:space="preserve">: </w:t>
      </w:r>
      <w:r w:rsidR="00A4255D">
        <w:rPr>
          <w:rFonts w:ascii="Arial" w:hAnsi="Arial" w:cs="Arial"/>
          <w:lang w:eastAsia="en-US"/>
        </w:rPr>
        <w:t xml:space="preserve">There was a </w:t>
      </w:r>
      <w:r w:rsidR="00A4255D" w:rsidRPr="00877034">
        <w:rPr>
          <w:rFonts w:ascii="Arial" w:hAnsi="Arial" w:cs="Arial"/>
          <w:lang w:eastAsia="en-US"/>
        </w:rPr>
        <w:t>need to construct a building to house a minimum of 3 x 70 square metre bays (plus storage space) 3 storeys high</w:t>
      </w:r>
      <w:r w:rsidR="00A4255D">
        <w:rPr>
          <w:rFonts w:ascii="Arial" w:hAnsi="Arial" w:cs="Arial"/>
          <w:lang w:eastAsia="en-US"/>
        </w:rPr>
        <w:t>.</w:t>
      </w:r>
    </w:p>
    <w:p w14:paraId="6C8E103B" w14:textId="059A339C" w:rsidR="00A4255D" w:rsidRPr="00A4255D" w:rsidRDefault="00A4255D" w:rsidP="00A4255D">
      <w:pPr>
        <w:pStyle w:val="ListParagraph"/>
        <w:numPr>
          <w:ilvl w:val="0"/>
          <w:numId w:val="32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Staff: There was a requirement to provide a training instructor that has 10 years on site experience, 5 years supervisor experience with a whole host of accredited qualifications</w:t>
      </w:r>
    </w:p>
    <w:p w14:paraId="0B98991F" w14:textId="77777777" w:rsidR="00877034" w:rsidRPr="00877034" w:rsidRDefault="00877034" w:rsidP="00877034">
      <w:pPr>
        <w:pStyle w:val="ListParagraph"/>
        <w:ind w:left="1440"/>
        <w:rPr>
          <w:rFonts w:ascii="Arial" w:hAnsi="Arial" w:cs="Arial"/>
          <w:lang w:eastAsia="en-US"/>
        </w:rPr>
      </w:pPr>
    </w:p>
    <w:p w14:paraId="3BE2D130" w14:textId="2D37E9E0" w:rsidR="00877034" w:rsidRDefault="00877034" w:rsidP="00877034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 w:rsidRPr="00877034">
        <w:rPr>
          <w:lang w:eastAsia="en-US"/>
        </w:rPr>
        <w:t>The</w:t>
      </w:r>
      <w:r w:rsidR="004E6EC3">
        <w:rPr>
          <w:lang w:eastAsia="en-US"/>
        </w:rPr>
        <w:t>re is a</w:t>
      </w:r>
      <w:r w:rsidRPr="00877034">
        <w:rPr>
          <w:lang w:eastAsia="en-US"/>
        </w:rPr>
        <w:t xml:space="preserve"> reduc</w:t>
      </w:r>
      <w:r w:rsidR="004E6EC3">
        <w:rPr>
          <w:lang w:eastAsia="en-US"/>
        </w:rPr>
        <w:t>ed</w:t>
      </w:r>
      <w:r w:rsidRPr="00877034">
        <w:rPr>
          <w:lang w:eastAsia="en-US"/>
        </w:rPr>
        <w:t xml:space="preserve"> requirement for scaffolding training over the longer term as new methods of building come to the fore (modular housing)</w:t>
      </w:r>
    </w:p>
    <w:p w14:paraId="71A0F6EB" w14:textId="77777777" w:rsidR="00877034" w:rsidRPr="00877034" w:rsidRDefault="00877034" w:rsidP="00877034">
      <w:pPr>
        <w:ind w:left="709"/>
        <w:contextualSpacing/>
        <w:rPr>
          <w:lang w:eastAsia="en-US"/>
        </w:rPr>
      </w:pPr>
    </w:p>
    <w:p w14:paraId="6E3ADAF2" w14:textId="771ECF15" w:rsidR="0061547F" w:rsidRDefault="004E6EC3" w:rsidP="0061547F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>
        <w:rPr>
          <w:lang w:eastAsia="en-US"/>
        </w:rPr>
        <w:t>There</w:t>
      </w:r>
      <w:r w:rsidR="00877034" w:rsidRPr="00877034">
        <w:rPr>
          <w:lang w:eastAsia="en-US"/>
        </w:rPr>
        <w:t xml:space="preserve"> would</w:t>
      </w:r>
      <w:r>
        <w:rPr>
          <w:lang w:eastAsia="en-US"/>
        </w:rPr>
        <w:t xml:space="preserve"> also</w:t>
      </w:r>
      <w:r w:rsidR="00877034" w:rsidRPr="00877034">
        <w:rPr>
          <w:lang w:eastAsia="en-US"/>
        </w:rPr>
        <w:t xml:space="preserve"> be difficulty in attracting appropriate lecturing and assessing staff to deliver course content at pay rates that would </w:t>
      </w:r>
      <w:r w:rsidR="00A4255D">
        <w:rPr>
          <w:lang w:eastAsia="en-US"/>
        </w:rPr>
        <w:t>make the Project non-viable financially.</w:t>
      </w:r>
    </w:p>
    <w:p w14:paraId="26B7A793" w14:textId="77777777" w:rsidR="0061547F" w:rsidRDefault="0061547F" w:rsidP="00527700">
      <w:pPr>
        <w:ind w:left="709"/>
        <w:contextualSpacing/>
        <w:rPr>
          <w:lang w:eastAsia="en-US"/>
        </w:rPr>
      </w:pPr>
    </w:p>
    <w:p w14:paraId="363F0E4D" w14:textId="7B1C6D55" w:rsidR="0061547F" w:rsidRPr="00527700" w:rsidRDefault="0061547F" w:rsidP="00527700">
      <w:pPr>
        <w:numPr>
          <w:ilvl w:val="0"/>
          <w:numId w:val="1"/>
        </w:numPr>
        <w:contextualSpacing/>
        <w:rPr>
          <w:b/>
          <w:bCs/>
          <w:lang w:eastAsia="en-US"/>
        </w:rPr>
      </w:pPr>
      <w:r>
        <w:rPr>
          <w:lang w:eastAsia="en-US"/>
        </w:rPr>
        <w:tab/>
      </w:r>
      <w:bookmarkStart w:id="0" w:name="_GoBack"/>
      <w:r w:rsidRPr="00527700">
        <w:rPr>
          <w:b/>
          <w:bCs/>
          <w:lang w:eastAsia="en-US"/>
        </w:rPr>
        <w:t>New Project Scope</w:t>
      </w:r>
      <w:r w:rsidR="0069777C">
        <w:rPr>
          <w:b/>
          <w:bCs/>
          <w:lang w:eastAsia="en-US"/>
        </w:rPr>
        <w:t xml:space="preserve"> – Colchester G</w:t>
      </w:r>
      <w:r w:rsidR="00527700">
        <w:rPr>
          <w:b/>
          <w:bCs/>
          <w:lang w:eastAsia="en-US"/>
        </w:rPr>
        <w:t>r</w:t>
      </w:r>
      <w:r w:rsidR="0069777C">
        <w:rPr>
          <w:b/>
          <w:bCs/>
          <w:lang w:eastAsia="en-US"/>
        </w:rPr>
        <w:t>oundworks Academy</w:t>
      </w:r>
      <w:bookmarkEnd w:id="0"/>
    </w:p>
    <w:p w14:paraId="27605208" w14:textId="78154B52" w:rsidR="00877034" w:rsidRDefault="00877034" w:rsidP="00877034">
      <w:pPr>
        <w:ind w:left="709"/>
        <w:contextualSpacing/>
        <w:rPr>
          <w:lang w:eastAsia="en-US"/>
        </w:rPr>
      </w:pPr>
    </w:p>
    <w:p w14:paraId="34495953" w14:textId="38322C08" w:rsidR="00BE7043" w:rsidRDefault="00BE7043" w:rsidP="0009256E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 w:rsidRPr="00BE7043">
        <w:rPr>
          <w:lang w:eastAsia="en-US"/>
        </w:rPr>
        <w:t xml:space="preserve">Project funding will </w:t>
      </w:r>
      <w:r>
        <w:rPr>
          <w:lang w:eastAsia="en-US"/>
        </w:rPr>
        <w:t xml:space="preserve">still </w:t>
      </w:r>
      <w:r w:rsidRPr="00BE7043">
        <w:rPr>
          <w:lang w:eastAsia="en-US"/>
        </w:rPr>
        <w:t xml:space="preserve">allow for site clearance and preparation, design and </w:t>
      </w:r>
      <w:r w:rsidRPr="00BE7043">
        <w:rPr>
          <w:lang w:eastAsia="en-US"/>
        </w:rPr>
        <w:tab/>
        <w:t>planning approval</w:t>
      </w:r>
      <w:r>
        <w:rPr>
          <w:lang w:eastAsia="en-US"/>
        </w:rPr>
        <w:t>s. R</w:t>
      </w:r>
      <w:r w:rsidRPr="00BE7043">
        <w:rPr>
          <w:lang w:eastAsia="en-US"/>
        </w:rPr>
        <w:t xml:space="preserve">econfiguration and upgrade of classrooms adjacent to the site that will create a genuine first-class training facility for Essex </w:t>
      </w:r>
      <w:r w:rsidRPr="00BE7043">
        <w:rPr>
          <w:lang w:eastAsia="en-US"/>
        </w:rPr>
        <w:tab/>
        <w:t>businesses.</w:t>
      </w:r>
    </w:p>
    <w:p w14:paraId="77D00632" w14:textId="77777777" w:rsidR="005509F0" w:rsidRDefault="005509F0" w:rsidP="004645AA">
      <w:pPr>
        <w:ind w:left="709"/>
        <w:contextualSpacing/>
        <w:rPr>
          <w:lang w:eastAsia="en-US"/>
        </w:rPr>
      </w:pPr>
    </w:p>
    <w:p w14:paraId="40C33D83" w14:textId="028A9D76" w:rsidR="005509F0" w:rsidRDefault="005509F0" w:rsidP="005509F0">
      <w:pPr>
        <w:pStyle w:val="ListParagraph"/>
        <w:numPr>
          <w:ilvl w:val="1"/>
          <w:numId w:val="1"/>
        </w:numPr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ab/>
      </w:r>
      <w:r w:rsidRPr="005509F0">
        <w:rPr>
          <w:rFonts w:ascii="Arial" w:eastAsia="Calibri" w:hAnsi="Arial" w:cs="Arial"/>
          <w:szCs w:val="24"/>
          <w:lang w:eastAsia="en-US"/>
        </w:rPr>
        <w:t xml:space="preserve">The Project will continue to provide self-contained areas, supporting the </w:t>
      </w:r>
      <w:r>
        <w:rPr>
          <w:rFonts w:ascii="Arial" w:eastAsia="Calibri" w:hAnsi="Arial" w:cs="Arial"/>
          <w:szCs w:val="24"/>
          <w:lang w:eastAsia="en-US"/>
        </w:rPr>
        <w:tab/>
      </w:r>
      <w:r w:rsidRPr="005509F0">
        <w:rPr>
          <w:rFonts w:ascii="Arial" w:eastAsia="Calibri" w:hAnsi="Arial" w:cs="Arial"/>
          <w:szCs w:val="24"/>
          <w:lang w:eastAsia="en-US"/>
        </w:rPr>
        <w:t>Groundworks element, with modular buildings to replicate site conditions.</w:t>
      </w:r>
    </w:p>
    <w:p w14:paraId="1AC75D8F" w14:textId="77777777" w:rsidR="005509F0" w:rsidRPr="005509F0" w:rsidRDefault="005509F0" w:rsidP="004645AA">
      <w:pPr>
        <w:pStyle w:val="ListParagraph"/>
        <w:ind w:left="432"/>
        <w:rPr>
          <w:rFonts w:ascii="Arial" w:eastAsia="Calibri" w:hAnsi="Arial" w:cs="Arial"/>
          <w:szCs w:val="24"/>
          <w:lang w:eastAsia="en-US"/>
        </w:rPr>
      </w:pPr>
    </w:p>
    <w:p w14:paraId="39885D7A" w14:textId="19364AFA" w:rsidR="005509F0" w:rsidRPr="005509F0" w:rsidRDefault="005509F0" w:rsidP="005509F0">
      <w:pPr>
        <w:pStyle w:val="ListParagraph"/>
        <w:numPr>
          <w:ilvl w:val="1"/>
          <w:numId w:val="1"/>
        </w:numPr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ab/>
      </w:r>
      <w:r w:rsidRPr="005509F0">
        <w:rPr>
          <w:rFonts w:ascii="Arial" w:eastAsia="Calibri" w:hAnsi="Arial" w:cs="Arial"/>
          <w:szCs w:val="24"/>
          <w:lang w:eastAsia="en-US"/>
        </w:rPr>
        <w:t>The output of qualified Groundwork apprentices will be retained in this Project.</w:t>
      </w:r>
      <w:r w:rsidR="009B2FBD">
        <w:rPr>
          <w:rFonts w:ascii="Arial" w:eastAsia="Calibri" w:hAnsi="Arial" w:cs="Arial"/>
          <w:szCs w:val="24"/>
          <w:lang w:eastAsia="en-US"/>
        </w:rPr>
        <w:t xml:space="preserve"> </w:t>
      </w:r>
      <w:r w:rsidR="009B2FBD">
        <w:rPr>
          <w:rFonts w:ascii="Arial" w:eastAsia="Calibri" w:hAnsi="Arial" w:cs="Arial"/>
          <w:szCs w:val="24"/>
          <w:lang w:eastAsia="en-US"/>
        </w:rPr>
        <w:tab/>
        <w:t xml:space="preserve">Indeed, it is expected that the number of training courses provided as part of </w:t>
      </w:r>
      <w:r w:rsidR="009B2FBD">
        <w:rPr>
          <w:rFonts w:ascii="Arial" w:eastAsia="Calibri" w:hAnsi="Arial" w:cs="Arial"/>
          <w:szCs w:val="24"/>
          <w:lang w:eastAsia="en-US"/>
        </w:rPr>
        <w:tab/>
        <w:t>the Groundworks programme will increase.</w:t>
      </w:r>
    </w:p>
    <w:p w14:paraId="1B0DE2F8" w14:textId="04625736" w:rsidR="009B2FBD" w:rsidRDefault="009B2FBD" w:rsidP="004645AA">
      <w:pPr>
        <w:ind w:left="709"/>
        <w:contextualSpacing/>
        <w:rPr>
          <w:lang w:eastAsia="en-US"/>
        </w:rPr>
      </w:pPr>
    </w:p>
    <w:p w14:paraId="0782A276" w14:textId="2DD9D265" w:rsidR="00106E1E" w:rsidRDefault="00BE7043" w:rsidP="004645AA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>
        <w:rPr>
          <w:lang w:eastAsia="en-US"/>
        </w:rPr>
        <w:t>A new course aimed at delivering a three month ‘Entry to Apprenticeship’ programme. The inclusion of th</w:t>
      </w:r>
      <w:r w:rsidR="005509F0">
        <w:rPr>
          <w:lang w:eastAsia="en-US"/>
        </w:rPr>
        <w:t>is additional; course will help ensure that candidates are committed to the apprenticeship over a longer term.</w:t>
      </w:r>
      <w:r>
        <w:rPr>
          <w:lang w:eastAsia="en-US"/>
        </w:rPr>
        <w:t xml:space="preserve"> </w:t>
      </w:r>
    </w:p>
    <w:p w14:paraId="15B1A6D7" w14:textId="77777777" w:rsidR="00106E1E" w:rsidRDefault="00106E1E" w:rsidP="00527700">
      <w:pPr>
        <w:ind w:left="709"/>
        <w:contextualSpacing/>
        <w:rPr>
          <w:lang w:eastAsia="en-US"/>
        </w:rPr>
      </w:pPr>
    </w:p>
    <w:p w14:paraId="398DE4BE" w14:textId="25118A54" w:rsidR="007855F9" w:rsidRDefault="00106E1E" w:rsidP="0009256E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>
        <w:rPr>
          <w:lang w:eastAsia="en-US"/>
        </w:rPr>
        <w:t>The revised Project will</w:t>
      </w:r>
      <w:r w:rsidRPr="00877034">
        <w:rPr>
          <w:lang w:eastAsia="en-US"/>
        </w:rPr>
        <w:t xml:space="preserve"> </w:t>
      </w:r>
      <w:r w:rsidR="006A2E93">
        <w:rPr>
          <w:lang w:eastAsia="en-US"/>
        </w:rPr>
        <w:t>address</w:t>
      </w:r>
      <w:r w:rsidR="00877034" w:rsidRPr="00877034">
        <w:rPr>
          <w:lang w:eastAsia="en-US"/>
        </w:rPr>
        <w:t xml:space="preserve"> feedback from key employers participating in the programme</w:t>
      </w:r>
      <w:r w:rsidR="00C456A2">
        <w:rPr>
          <w:lang w:eastAsia="en-US"/>
        </w:rPr>
        <w:t>,</w:t>
      </w:r>
      <w:r w:rsidR="00877034" w:rsidRPr="00877034">
        <w:rPr>
          <w:lang w:eastAsia="en-US"/>
        </w:rPr>
        <w:t xml:space="preserve"> that they are experiencing difficult</w:t>
      </w:r>
      <w:r w:rsidR="000B3B29">
        <w:rPr>
          <w:lang w:eastAsia="en-US"/>
        </w:rPr>
        <w:t>ies</w:t>
      </w:r>
      <w:r w:rsidR="00877034" w:rsidRPr="00877034">
        <w:rPr>
          <w:lang w:eastAsia="en-US"/>
        </w:rPr>
        <w:t xml:space="preserve"> in recruiting apprentices for the </w:t>
      </w:r>
      <w:r w:rsidR="007855F9">
        <w:rPr>
          <w:lang w:eastAsia="en-US"/>
        </w:rPr>
        <w:t>Scaffolding element of the Project</w:t>
      </w:r>
      <w:r w:rsidR="00877034" w:rsidRPr="00877034">
        <w:rPr>
          <w:lang w:eastAsia="en-US"/>
        </w:rPr>
        <w:t xml:space="preserve">. </w:t>
      </w:r>
    </w:p>
    <w:p w14:paraId="1243D81A" w14:textId="77777777" w:rsidR="00A55C1A" w:rsidRDefault="00A55C1A" w:rsidP="004645AA">
      <w:pPr>
        <w:ind w:left="709"/>
        <w:contextualSpacing/>
        <w:rPr>
          <w:lang w:eastAsia="en-US"/>
        </w:rPr>
      </w:pPr>
    </w:p>
    <w:p w14:paraId="43E866A6" w14:textId="1374E672" w:rsidR="00A55C1A" w:rsidRDefault="00A55C1A" w:rsidP="0009256E">
      <w:pPr>
        <w:numPr>
          <w:ilvl w:val="1"/>
          <w:numId w:val="1"/>
        </w:numPr>
        <w:ind w:left="709" w:hanging="709"/>
        <w:contextualSpacing/>
        <w:rPr>
          <w:lang w:eastAsia="en-US"/>
        </w:rPr>
      </w:pPr>
      <w:r>
        <w:rPr>
          <w:lang w:eastAsia="en-US"/>
        </w:rPr>
        <w:t>Table 1 below shows a comparable between the original Project and revised Project. The table shows a reduction in outcomes pertaining to the scaffolding element, but it should be noted that these were mostly one day short course/accreditations as opposed to the longer courses being offered as part of the Groundworks Academy.</w:t>
      </w:r>
    </w:p>
    <w:p w14:paraId="05C6C641" w14:textId="77777777" w:rsidR="0009256E" w:rsidRDefault="0009256E" w:rsidP="0009256E">
      <w:pPr>
        <w:ind w:left="709"/>
        <w:contextualSpacing/>
        <w:rPr>
          <w:lang w:eastAsia="en-US"/>
        </w:rPr>
      </w:pPr>
    </w:p>
    <w:p w14:paraId="698BAD5E" w14:textId="77777777" w:rsidR="00C26172" w:rsidRPr="00EC41AB" w:rsidRDefault="00C26172" w:rsidP="005B05F1">
      <w:pPr>
        <w:contextualSpacing/>
        <w:rPr>
          <w:color w:val="92D050"/>
        </w:rPr>
      </w:pPr>
    </w:p>
    <w:p w14:paraId="7CC067FC" w14:textId="273F1783" w:rsidR="008E4DAA" w:rsidRPr="005B05F1" w:rsidRDefault="001478B7" w:rsidP="00E427C6">
      <w:pPr>
        <w:numPr>
          <w:ilvl w:val="0"/>
          <w:numId w:val="1"/>
        </w:numPr>
        <w:ind w:left="709" w:hanging="709"/>
        <w:contextualSpacing/>
        <w:rPr>
          <w:b/>
          <w:lang w:eastAsia="en-US"/>
        </w:rPr>
      </w:pPr>
      <w:r>
        <w:rPr>
          <w:b/>
          <w:lang w:eastAsia="en-US"/>
        </w:rPr>
        <w:lastRenderedPageBreak/>
        <w:t xml:space="preserve">Alternative </w:t>
      </w:r>
      <w:r w:rsidR="008E4DAA" w:rsidRPr="005B05F1">
        <w:rPr>
          <w:b/>
          <w:lang w:eastAsia="en-US"/>
        </w:rPr>
        <w:t>Options Considered</w:t>
      </w:r>
    </w:p>
    <w:p w14:paraId="7C6237F6" w14:textId="77777777" w:rsidR="008E4DAA" w:rsidRPr="00EC41AB" w:rsidRDefault="008E4DAA" w:rsidP="008E4DAA">
      <w:pPr>
        <w:ind w:left="360"/>
        <w:contextualSpacing/>
        <w:rPr>
          <w:b/>
          <w:color w:val="92D050"/>
          <w:lang w:eastAsia="en-US"/>
        </w:rPr>
      </w:pPr>
    </w:p>
    <w:p w14:paraId="26627A46" w14:textId="01DBDD29" w:rsidR="002B6BE0" w:rsidRPr="004645AA" w:rsidRDefault="00C94147" w:rsidP="001478B7">
      <w:pPr>
        <w:numPr>
          <w:ilvl w:val="1"/>
          <w:numId w:val="1"/>
        </w:numPr>
        <w:ind w:left="709" w:hanging="709"/>
        <w:contextualSpacing/>
        <w:rPr>
          <w:b/>
          <w:color w:val="92D050"/>
          <w:lang w:eastAsia="en-US"/>
        </w:rPr>
      </w:pPr>
      <w:r>
        <w:t xml:space="preserve">At the stage of the LGF award being made for the Project, </w:t>
      </w:r>
      <w:r w:rsidR="001478B7">
        <w:t xml:space="preserve">the </w:t>
      </w:r>
      <w:r>
        <w:t>s</w:t>
      </w:r>
      <w:r w:rsidR="001478B7">
        <w:t>caffolding element of the Project was less well developed</w:t>
      </w:r>
      <w:r>
        <w:t xml:space="preserve"> than the groundworks aspect</w:t>
      </w:r>
      <w:r w:rsidR="001478B7">
        <w:t xml:space="preserve">. </w:t>
      </w:r>
    </w:p>
    <w:p w14:paraId="6AC01F1F" w14:textId="77777777" w:rsidR="00E4487F" w:rsidRPr="004645AA" w:rsidRDefault="00E4487F" w:rsidP="004645AA">
      <w:pPr>
        <w:ind w:left="709"/>
        <w:contextualSpacing/>
        <w:rPr>
          <w:b/>
          <w:color w:val="92D050"/>
          <w:lang w:eastAsia="en-US"/>
        </w:rPr>
      </w:pPr>
    </w:p>
    <w:p w14:paraId="0F773A4E" w14:textId="211E919D" w:rsidR="00E4487F" w:rsidRPr="002B6BE0" w:rsidRDefault="00E4487F" w:rsidP="001478B7">
      <w:pPr>
        <w:numPr>
          <w:ilvl w:val="1"/>
          <w:numId w:val="1"/>
        </w:numPr>
        <w:ind w:left="709" w:hanging="709"/>
        <w:contextualSpacing/>
        <w:rPr>
          <w:b/>
          <w:color w:val="92D050"/>
          <w:lang w:eastAsia="en-US"/>
        </w:rPr>
      </w:pPr>
      <w:r>
        <w:t xml:space="preserve">As a result of the change of scope, the number of apprenticeships starts will </w:t>
      </w:r>
      <w:r w:rsidR="00666E3E">
        <w:t>still see a net increase of 12</w:t>
      </w:r>
      <w:r>
        <w:t xml:space="preserve">. </w:t>
      </w:r>
    </w:p>
    <w:p w14:paraId="44392C42" w14:textId="77777777" w:rsidR="002B6BE0" w:rsidRPr="002B6BE0" w:rsidRDefault="002B6BE0" w:rsidP="002B6BE0">
      <w:pPr>
        <w:ind w:left="709"/>
        <w:contextualSpacing/>
        <w:rPr>
          <w:b/>
          <w:color w:val="92D050"/>
          <w:lang w:eastAsia="en-US"/>
        </w:rPr>
      </w:pPr>
    </w:p>
    <w:p w14:paraId="078A473A" w14:textId="7D5FF4AE" w:rsidR="000B3B29" w:rsidRPr="00A305D7" w:rsidRDefault="002B6BE0" w:rsidP="004645AA">
      <w:pPr>
        <w:numPr>
          <w:ilvl w:val="1"/>
          <w:numId w:val="1"/>
        </w:numPr>
        <w:ind w:left="709" w:hanging="709"/>
        <w:contextualSpacing/>
        <w:rPr>
          <w:b/>
          <w:lang w:eastAsia="en-US"/>
        </w:rPr>
      </w:pPr>
      <w:r w:rsidRPr="00A25699">
        <w:rPr>
          <w:bCs/>
          <w:lang w:eastAsia="en-US"/>
        </w:rPr>
        <w:t xml:space="preserve">Options were considered that offered a ‘condensed scheme’ that still awarded an accreditation of Construction Industry Scaffolders Record Scheme (CISRS), however the requirements needed for this ‘minimum’ centre </w:t>
      </w:r>
      <w:r w:rsidR="00A25699">
        <w:rPr>
          <w:bCs/>
          <w:lang w:eastAsia="en-US"/>
        </w:rPr>
        <w:t>included</w:t>
      </w:r>
      <w:r w:rsidRPr="00A25699">
        <w:rPr>
          <w:bCs/>
          <w:lang w:eastAsia="en-US"/>
        </w:rPr>
        <w:t xml:space="preserve"> the provision of a 400 </w:t>
      </w:r>
      <w:proofErr w:type="spellStart"/>
      <w:r w:rsidRPr="00A25699">
        <w:rPr>
          <w:bCs/>
          <w:lang w:eastAsia="en-US"/>
        </w:rPr>
        <w:t>sq.m</w:t>
      </w:r>
      <w:proofErr w:type="spellEnd"/>
      <w:r w:rsidRPr="00A25699">
        <w:rPr>
          <w:bCs/>
          <w:lang w:eastAsia="en-US"/>
        </w:rPr>
        <w:t xml:space="preserve"> covered space</w:t>
      </w:r>
      <w:r w:rsidR="00A25699">
        <w:rPr>
          <w:bCs/>
          <w:lang w:eastAsia="en-US"/>
        </w:rPr>
        <w:t xml:space="preserve"> which</w:t>
      </w:r>
      <w:r w:rsidR="000B3B29" w:rsidRPr="00A25699">
        <w:rPr>
          <w:bCs/>
          <w:lang w:eastAsia="en-US"/>
        </w:rPr>
        <w:t xml:space="preserve"> would require three separate platform areas, plus storage areas which would be beyond the financial scope of this Project.</w:t>
      </w:r>
      <w:r w:rsidRPr="00A25699">
        <w:rPr>
          <w:bCs/>
          <w:lang w:eastAsia="en-US"/>
        </w:rPr>
        <w:t xml:space="preserve"> </w:t>
      </w:r>
    </w:p>
    <w:p w14:paraId="1AD2B2FD" w14:textId="77777777" w:rsidR="000B3B29" w:rsidRPr="009745DB" w:rsidRDefault="000B3B29" w:rsidP="00D407A1">
      <w:pPr>
        <w:ind w:left="709"/>
        <w:contextualSpacing/>
        <w:rPr>
          <w:b/>
          <w:color w:val="92D050"/>
          <w:lang w:eastAsia="en-US"/>
        </w:rPr>
      </w:pPr>
    </w:p>
    <w:p w14:paraId="54CC402D" w14:textId="10A9A98B" w:rsidR="003C3125" w:rsidRPr="003C3125" w:rsidRDefault="00335062" w:rsidP="003C3125">
      <w:pPr>
        <w:numPr>
          <w:ilvl w:val="1"/>
          <w:numId w:val="1"/>
        </w:numPr>
        <w:ind w:left="709" w:hanging="709"/>
        <w:contextualSpacing/>
        <w:rPr>
          <w:b/>
          <w:color w:val="92D050"/>
          <w:lang w:eastAsia="en-US"/>
        </w:rPr>
      </w:pPr>
      <w:r>
        <w:t xml:space="preserve">Table </w:t>
      </w:r>
      <w:r w:rsidR="003C3125">
        <w:t>1 below sets out the change to the Project outcomes as a result of the</w:t>
      </w:r>
      <w:r w:rsidR="006440A7">
        <w:t xml:space="preserve"> change to the Project’s scope. </w:t>
      </w:r>
      <w:r w:rsidR="003C3125">
        <w:t xml:space="preserve"> </w:t>
      </w:r>
    </w:p>
    <w:p w14:paraId="59B6CE89" w14:textId="77777777" w:rsidR="003C3125" w:rsidRPr="003C3125" w:rsidRDefault="003C3125" w:rsidP="003C3125">
      <w:pPr>
        <w:ind w:left="709"/>
        <w:contextualSpacing/>
        <w:rPr>
          <w:b/>
          <w:color w:val="92D050"/>
          <w:lang w:eastAsia="en-US"/>
        </w:rPr>
      </w:pPr>
    </w:p>
    <w:p w14:paraId="631D722B" w14:textId="36A54F28" w:rsidR="00D407A1" w:rsidRDefault="003C3125" w:rsidP="003C3125">
      <w:pPr>
        <w:ind w:left="709"/>
        <w:contextualSpacing/>
        <w:rPr>
          <w:b/>
          <w:bCs/>
          <w:i/>
          <w:iCs/>
        </w:rPr>
      </w:pPr>
      <w:r w:rsidRPr="003C3125">
        <w:rPr>
          <w:b/>
          <w:bCs/>
          <w:i/>
          <w:iCs/>
        </w:rPr>
        <w:t xml:space="preserve">Table 1 Change to project outcomes </w:t>
      </w:r>
    </w:p>
    <w:p w14:paraId="7EDA7FFA" w14:textId="1F6CA0D8" w:rsidR="003C3125" w:rsidRDefault="003C3125" w:rsidP="003C3125">
      <w:pPr>
        <w:ind w:left="709"/>
        <w:contextualSpacing/>
        <w:rPr>
          <w:b/>
          <w:bCs/>
          <w:i/>
          <w:iCs/>
        </w:rPr>
      </w:pPr>
    </w:p>
    <w:p w14:paraId="0B1D05FE" w14:textId="5C6F086F" w:rsidR="00A55C1A" w:rsidRPr="003C3125" w:rsidRDefault="00A55C1A" w:rsidP="003C3125">
      <w:pPr>
        <w:ind w:left="709"/>
        <w:contextualSpacing/>
        <w:rPr>
          <w:b/>
          <w:bCs/>
          <w:i/>
          <w:iCs/>
        </w:rPr>
      </w:pPr>
      <w:r w:rsidRPr="00A55C1A">
        <w:rPr>
          <w:noProof/>
        </w:rPr>
        <w:drawing>
          <wp:inline distT="0" distB="0" distL="0" distR="0" wp14:anchorId="7577E7C8" wp14:editId="68878AAA">
            <wp:extent cx="5745480" cy="307467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D83A" w14:textId="77777777" w:rsidR="00D86659" w:rsidRDefault="00D86659" w:rsidP="001478B7">
      <w:pPr>
        <w:ind w:left="709"/>
        <w:contextualSpacing/>
        <w:rPr>
          <w:b/>
          <w:lang w:eastAsia="en-US"/>
        </w:rPr>
      </w:pPr>
    </w:p>
    <w:p w14:paraId="60F5FD40" w14:textId="7CB9D66B" w:rsidR="001478B7" w:rsidRDefault="0061547F" w:rsidP="001478B7">
      <w:pPr>
        <w:ind w:left="142" w:hanging="142"/>
        <w:contextualSpacing/>
        <w:rPr>
          <w:b/>
          <w:lang w:eastAsia="en-US"/>
        </w:rPr>
      </w:pPr>
      <w:r>
        <w:rPr>
          <w:b/>
          <w:lang w:eastAsia="en-US"/>
        </w:rPr>
        <w:t>7</w:t>
      </w:r>
      <w:r w:rsidR="001478B7">
        <w:rPr>
          <w:b/>
          <w:lang w:eastAsia="en-US"/>
        </w:rPr>
        <w:t>.</w:t>
      </w:r>
      <w:r w:rsidR="001478B7">
        <w:rPr>
          <w:b/>
          <w:lang w:eastAsia="en-US"/>
        </w:rPr>
        <w:tab/>
        <w:t>Consultation</w:t>
      </w:r>
    </w:p>
    <w:p w14:paraId="5328586B" w14:textId="4DD4EE31" w:rsidR="001478B7" w:rsidRDefault="001478B7" w:rsidP="001478B7">
      <w:pPr>
        <w:ind w:left="142" w:hanging="142"/>
        <w:contextualSpacing/>
        <w:rPr>
          <w:b/>
          <w:lang w:eastAsia="en-US"/>
        </w:rPr>
      </w:pPr>
    </w:p>
    <w:p w14:paraId="7CC2A829" w14:textId="0063B120" w:rsidR="001478B7" w:rsidRPr="001478B7" w:rsidRDefault="0061547F" w:rsidP="001478B7">
      <w:pPr>
        <w:ind w:left="142" w:hanging="142"/>
        <w:contextualSpacing/>
        <w:rPr>
          <w:lang w:eastAsia="en-US"/>
        </w:rPr>
      </w:pPr>
      <w:r>
        <w:rPr>
          <w:lang w:eastAsia="en-US"/>
        </w:rPr>
        <w:t>7</w:t>
      </w:r>
      <w:r w:rsidR="001478B7">
        <w:rPr>
          <w:lang w:eastAsia="en-US"/>
        </w:rPr>
        <w:t>.1</w:t>
      </w:r>
      <w:r w:rsidR="001478B7">
        <w:rPr>
          <w:lang w:eastAsia="en-US"/>
        </w:rPr>
        <w:tab/>
        <w:t xml:space="preserve">The lead employer on the Scaffolding element is no longer interested in </w:t>
      </w:r>
      <w:r w:rsidR="001478B7">
        <w:rPr>
          <w:lang w:eastAsia="en-US"/>
        </w:rPr>
        <w:tab/>
        <w:t xml:space="preserve">leading on this part of the Project and the College have been unable to source </w:t>
      </w:r>
      <w:r w:rsidR="001478B7">
        <w:rPr>
          <w:lang w:eastAsia="en-US"/>
        </w:rPr>
        <w:tab/>
        <w:t xml:space="preserve">an alternative employer. Essex County Council (ECC) as scheme sponsor has </w:t>
      </w:r>
      <w:r w:rsidR="001478B7">
        <w:rPr>
          <w:lang w:eastAsia="en-US"/>
        </w:rPr>
        <w:tab/>
        <w:t>been made aware of the need to vary the Project.</w:t>
      </w:r>
    </w:p>
    <w:p w14:paraId="484B861F" w14:textId="77777777" w:rsidR="001478B7" w:rsidRDefault="001478B7" w:rsidP="001478B7">
      <w:pPr>
        <w:ind w:left="709"/>
        <w:contextualSpacing/>
        <w:rPr>
          <w:b/>
          <w:lang w:eastAsia="en-US"/>
        </w:rPr>
      </w:pPr>
    </w:p>
    <w:p w14:paraId="2ECB00E3" w14:textId="0B8EBB9F" w:rsidR="00160CB3" w:rsidRPr="001478B7" w:rsidRDefault="0061547F" w:rsidP="001478B7">
      <w:pPr>
        <w:contextualSpacing/>
        <w:rPr>
          <w:b/>
          <w:lang w:eastAsia="en-US"/>
        </w:rPr>
      </w:pPr>
      <w:r>
        <w:rPr>
          <w:b/>
          <w:lang w:eastAsia="en-US"/>
        </w:rPr>
        <w:t>8</w:t>
      </w:r>
      <w:r w:rsidR="001478B7">
        <w:rPr>
          <w:b/>
          <w:lang w:eastAsia="en-US"/>
        </w:rPr>
        <w:t>.</w:t>
      </w:r>
      <w:r w:rsidR="001478B7">
        <w:rPr>
          <w:b/>
          <w:lang w:eastAsia="en-US"/>
        </w:rPr>
        <w:tab/>
      </w:r>
      <w:r w:rsidR="005F11D6">
        <w:rPr>
          <w:b/>
          <w:lang w:eastAsia="en-US"/>
        </w:rPr>
        <w:t xml:space="preserve">Revised </w:t>
      </w:r>
      <w:r w:rsidR="00160CB3" w:rsidRPr="001478B7">
        <w:rPr>
          <w:b/>
          <w:lang w:eastAsia="en-US"/>
        </w:rPr>
        <w:t>Project Cost and Funding</w:t>
      </w:r>
    </w:p>
    <w:p w14:paraId="3CEDE1D3" w14:textId="77777777" w:rsidR="00DD3F08" w:rsidRPr="00C92A2E" w:rsidRDefault="00DD3F08" w:rsidP="00DD3F08">
      <w:pPr>
        <w:ind w:left="709"/>
        <w:contextualSpacing/>
        <w:rPr>
          <w:b/>
          <w:lang w:eastAsia="en-US"/>
        </w:rPr>
      </w:pPr>
    </w:p>
    <w:p w14:paraId="313A8B65" w14:textId="5A850DB8" w:rsidR="00E61E83" w:rsidRPr="00C92A2E" w:rsidRDefault="0061547F" w:rsidP="001478B7">
      <w:pPr>
        <w:contextualSpacing/>
        <w:rPr>
          <w:lang w:eastAsia="en-US"/>
        </w:rPr>
      </w:pPr>
      <w:r>
        <w:rPr>
          <w:lang w:eastAsia="en-US"/>
        </w:rPr>
        <w:t>8.1</w:t>
      </w:r>
      <w:r w:rsidR="001478B7">
        <w:rPr>
          <w:lang w:eastAsia="en-US"/>
        </w:rPr>
        <w:tab/>
      </w:r>
      <w:r w:rsidR="00DD3F08" w:rsidRPr="00C92A2E">
        <w:rPr>
          <w:lang w:eastAsia="en-US"/>
        </w:rPr>
        <w:t xml:space="preserve">The total cost of </w:t>
      </w:r>
      <w:r w:rsidR="002C2CE7" w:rsidRPr="00C92A2E">
        <w:rPr>
          <w:lang w:eastAsia="en-US"/>
        </w:rPr>
        <w:t>the Project</w:t>
      </w:r>
      <w:r w:rsidR="00C92A2E" w:rsidRPr="00C92A2E">
        <w:rPr>
          <w:lang w:eastAsia="en-US"/>
        </w:rPr>
        <w:t xml:space="preserve"> is </w:t>
      </w:r>
      <w:r w:rsidR="001478B7">
        <w:rPr>
          <w:lang w:eastAsia="en-US"/>
        </w:rPr>
        <w:t>reduced to</w:t>
      </w:r>
      <w:r w:rsidR="00C92A2E" w:rsidRPr="00C92A2E">
        <w:rPr>
          <w:lang w:eastAsia="en-US"/>
        </w:rPr>
        <w:t xml:space="preserve"> £</w:t>
      </w:r>
      <w:r w:rsidR="001478B7">
        <w:rPr>
          <w:lang w:eastAsia="en-US"/>
        </w:rPr>
        <w:t>1</w:t>
      </w:r>
      <w:r w:rsidR="00C92A2E" w:rsidRPr="00C92A2E">
        <w:rPr>
          <w:lang w:eastAsia="en-US"/>
        </w:rPr>
        <w:t>50,000</w:t>
      </w:r>
      <w:r w:rsidR="00352068" w:rsidRPr="00C92A2E">
        <w:rPr>
          <w:lang w:eastAsia="en-US"/>
        </w:rPr>
        <w:t xml:space="preserve">, as set out </w:t>
      </w:r>
      <w:r w:rsidR="002C2CE7" w:rsidRPr="00C92A2E">
        <w:rPr>
          <w:lang w:eastAsia="en-US"/>
        </w:rPr>
        <w:t xml:space="preserve">in Table </w:t>
      </w:r>
      <w:r w:rsidR="003C3125">
        <w:rPr>
          <w:lang w:eastAsia="en-US"/>
        </w:rPr>
        <w:t>2</w:t>
      </w:r>
      <w:r w:rsidR="001478B7">
        <w:rPr>
          <w:lang w:eastAsia="en-US"/>
        </w:rPr>
        <w:tab/>
      </w:r>
      <w:r w:rsidR="002C2CE7" w:rsidRPr="00C92A2E">
        <w:rPr>
          <w:lang w:eastAsia="en-US"/>
        </w:rPr>
        <w:t>below.</w:t>
      </w:r>
    </w:p>
    <w:p w14:paraId="586B211B" w14:textId="77777777" w:rsidR="002C2CE7" w:rsidRPr="00C92A2E" w:rsidRDefault="002C2CE7" w:rsidP="002C2CE7">
      <w:pPr>
        <w:ind w:left="709"/>
        <w:contextualSpacing/>
        <w:rPr>
          <w:lang w:eastAsia="en-US"/>
        </w:rPr>
      </w:pPr>
    </w:p>
    <w:p w14:paraId="6D1BC27C" w14:textId="3D6C26BB" w:rsidR="00051196" w:rsidRDefault="0061547F" w:rsidP="001478B7">
      <w:pPr>
        <w:contextualSpacing/>
        <w:rPr>
          <w:lang w:eastAsia="en-US"/>
        </w:rPr>
      </w:pPr>
      <w:r>
        <w:rPr>
          <w:lang w:eastAsia="en-US"/>
        </w:rPr>
        <w:lastRenderedPageBreak/>
        <w:t>8.2</w:t>
      </w:r>
      <w:r w:rsidR="001478B7">
        <w:rPr>
          <w:lang w:eastAsia="en-US"/>
        </w:rPr>
        <w:tab/>
      </w:r>
      <w:r w:rsidR="00C92A2E" w:rsidRPr="00C92A2E">
        <w:rPr>
          <w:lang w:eastAsia="en-US"/>
        </w:rPr>
        <w:t xml:space="preserve">The College is seeking </w:t>
      </w:r>
      <w:r w:rsidR="00C92A2E" w:rsidRPr="005F11D6">
        <w:rPr>
          <w:lang w:eastAsia="en-US"/>
        </w:rPr>
        <w:t xml:space="preserve">a </w:t>
      </w:r>
      <w:r w:rsidR="001478B7" w:rsidRPr="005F11D6">
        <w:rPr>
          <w:lang w:eastAsia="en-US"/>
        </w:rPr>
        <w:t>reduced</w:t>
      </w:r>
      <w:r w:rsidR="001478B7">
        <w:rPr>
          <w:lang w:eastAsia="en-US"/>
        </w:rPr>
        <w:t xml:space="preserve"> amount of </w:t>
      </w:r>
      <w:r w:rsidR="009745DB">
        <w:rPr>
          <w:lang w:eastAsia="en-US"/>
        </w:rPr>
        <w:t xml:space="preserve">LGF </w:t>
      </w:r>
      <w:r w:rsidR="001478B7">
        <w:rPr>
          <w:lang w:eastAsia="en-US"/>
        </w:rPr>
        <w:t>funding</w:t>
      </w:r>
      <w:r w:rsidR="005F11D6">
        <w:rPr>
          <w:lang w:eastAsia="en-US"/>
        </w:rPr>
        <w:t>,</w:t>
      </w:r>
      <w:r w:rsidR="001478B7">
        <w:rPr>
          <w:lang w:eastAsia="en-US"/>
        </w:rPr>
        <w:t xml:space="preserve"> from</w:t>
      </w:r>
      <w:r w:rsidR="009745DB">
        <w:rPr>
          <w:lang w:eastAsia="en-US"/>
        </w:rPr>
        <w:t xml:space="preserve"> </w:t>
      </w:r>
      <w:r w:rsidR="00C92A2E" w:rsidRPr="00C92A2E">
        <w:rPr>
          <w:lang w:eastAsia="en-US"/>
        </w:rPr>
        <w:t>£100,000</w:t>
      </w:r>
      <w:r w:rsidR="002C2CE7" w:rsidRPr="00C92A2E">
        <w:rPr>
          <w:lang w:eastAsia="en-US"/>
        </w:rPr>
        <w:t xml:space="preserve"> </w:t>
      </w:r>
      <w:r w:rsidR="009745DB">
        <w:rPr>
          <w:lang w:eastAsia="en-US"/>
        </w:rPr>
        <w:t xml:space="preserve">to </w:t>
      </w:r>
      <w:r w:rsidR="009745DB">
        <w:rPr>
          <w:lang w:eastAsia="en-US"/>
        </w:rPr>
        <w:tab/>
        <w:t>£50,000</w:t>
      </w:r>
      <w:r w:rsidR="002C2CE7" w:rsidRPr="00C92A2E">
        <w:rPr>
          <w:lang w:eastAsia="en-US"/>
        </w:rPr>
        <w:t xml:space="preserve"> </w:t>
      </w:r>
      <w:r w:rsidR="00D407A1">
        <w:rPr>
          <w:lang w:eastAsia="en-US"/>
        </w:rPr>
        <w:t xml:space="preserve">as a </w:t>
      </w:r>
      <w:r w:rsidR="002C2CE7" w:rsidRPr="00C92A2E">
        <w:rPr>
          <w:lang w:eastAsia="en-US"/>
        </w:rPr>
        <w:t xml:space="preserve">contribution towards the delivery of the Project. The remaining </w:t>
      </w:r>
      <w:r w:rsidR="00D407A1">
        <w:rPr>
          <w:lang w:eastAsia="en-US"/>
        </w:rPr>
        <w:tab/>
      </w:r>
      <w:r w:rsidR="00C92A2E" w:rsidRPr="00C92A2E">
        <w:rPr>
          <w:lang w:eastAsia="en-US"/>
        </w:rPr>
        <w:t>cost of the Project will be met by the College</w:t>
      </w:r>
      <w:r w:rsidR="00C314C9">
        <w:rPr>
          <w:lang w:eastAsia="en-US"/>
        </w:rPr>
        <w:t xml:space="preserve"> and through </w:t>
      </w:r>
      <w:r w:rsidR="00C92A2E" w:rsidRPr="00C92A2E">
        <w:rPr>
          <w:lang w:eastAsia="en-US"/>
        </w:rPr>
        <w:t>Employer Group</w:t>
      </w:r>
      <w:r w:rsidR="00C314C9">
        <w:rPr>
          <w:lang w:eastAsia="en-US"/>
        </w:rPr>
        <w:t>s</w:t>
      </w:r>
      <w:r w:rsidR="00C92A2E" w:rsidRPr="00C92A2E">
        <w:rPr>
          <w:lang w:eastAsia="en-US"/>
        </w:rPr>
        <w:t xml:space="preserve">. </w:t>
      </w:r>
    </w:p>
    <w:p w14:paraId="46DBAE27" w14:textId="6C01F3F6" w:rsidR="00C314C9" w:rsidRDefault="00C314C9" w:rsidP="00C314C9">
      <w:pPr>
        <w:pStyle w:val="ListParagraph"/>
        <w:rPr>
          <w:lang w:eastAsia="en-US"/>
        </w:rPr>
      </w:pPr>
    </w:p>
    <w:p w14:paraId="2DDA7CAF" w14:textId="7916BA6F" w:rsidR="00C314C9" w:rsidRPr="00B50E6F" w:rsidRDefault="00C314C9" w:rsidP="00C314C9">
      <w:pPr>
        <w:ind w:left="709"/>
        <w:contextualSpacing/>
        <w:rPr>
          <w:b/>
          <w:i/>
          <w:lang w:eastAsia="en-US"/>
        </w:rPr>
      </w:pPr>
      <w:r w:rsidRPr="00B50E6F">
        <w:rPr>
          <w:b/>
          <w:i/>
          <w:lang w:eastAsia="en-US"/>
        </w:rPr>
        <w:t xml:space="preserve">Table </w:t>
      </w:r>
      <w:r w:rsidR="003C3125">
        <w:rPr>
          <w:b/>
          <w:i/>
          <w:lang w:eastAsia="en-US"/>
        </w:rPr>
        <w:t>2</w:t>
      </w:r>
      <w:r w:rsidRPr="00B50E6F">
        <w:rPr>
          <w:b/>
          <w:i/>
          <w:lang w:eastAsia="en-US"/>
        </w:rPr>
        <w:t xml:space="preserve"> – </w:t>
      </w:r>
      <w:r w:rsidR="000B3B29">
        <w:rPr>
          <w:b/>
          <w:i/>
          <w:lang w:eastAsia="en-US"/>
        </w:rPr>
        <w:t>Groundworks Training Academy</w:t>
      </w:r>
      <w:r w:rsidRPr="00B50E6F">
        <w:rPr>
          <w:b/>
          <w:i/>
          <w:lang w:eastAsia="en-US"/>
        </w:rPr>
        <w:t xml:space="preserve"> Spend Profile (£)</w:t>
      </w:r>
    </w:p>
    <w:p w14:paraId="31EE0ACF" w14:textId="77777777" w:rsidR="00C314C9" w:rsidRPr="00B50E6F" w:rsidRDefault="00C314C9" w:rsidP="00C314C9">
      <w:pPr>
        <w:ind w:left="792"/>
        <w:contextualSpacing/>
        <w:rPr>
          <w:lang w:eastAsia="en-US"/>
        </w:rPr>
      </w:pPr>
    </w:p>
    <w:tbl>
      <w:tblPr>
        <w:tblW w:w="3632" w:type="pct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249"/>
        <w:gridCol w:w="1249"/>
        <w:gridCol w:w="1230"/>
      </w:tblGrid>
      <w:tr w:rsidR="00BC7FAA" w:rsidRPr="00B50E6F" w14:paraId="1861CF20" w14:textId="77777777" w:rsidTr="00BC7FAA">
        <w:tc>
          <w:tcPr>
            <w:tcW w:w="2161" w:type="pct"/>
            <w:shd w:val="clear" w:color="auto" w:fill="D9D9D9"/>
          </w:tcPr>
          <w:p w14:paraId="14217ABF" w14:textId="77777777" w:rsidR="00BC7FAA" w:rsidRPr="00B50E6F" w:rsidRDefault="00BC7FAA" w:rsidP="00C2776E">
            <w:pPr>
              <w:contextualSpacing/>
              <w:rPr>
                <w:rFonts w:eastAsia="Times"/>
                <w:lang w:eastAsia="en-US"/>
              </w:rPr>
            </w:pPr>
          </w:p>
        </w:tc>
        <w:tc>
          <w:tcPr>
            <w:tcW w:w="951" w:type="pct"/>
            <w:shd w:val="clear" w:color="auto" w:fill="D9D9D9"/>
          </w:tcPr>
          <w:p w14:paraId="29C280E9" w14:textId="77777777" w:rsidR="00BC7FAA" w:rsidRPr="00B50E6F" w:rsidRDefault="00BC7FAA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 w:rsidRPr="00B50E6F">
              <w:rPr>
                <w:rFonts w:eastAsia="Times"/>
                <w:lang w:eastAsia="en-US"/>
              </w:rPr>
              <w:t>2019/20</w:t>
            </w:r>
          </w:p>
        </w:tc>
        <w:tc>
          <w:tcPr>
            <w:tcW w:w="951" w:type="pct"/>
            <w:shd w:val="clear" w:color="auto" w:fill="D9D9D9"/>
          </w:tcPr>
          <w:p w14:paraId="25D83FC4" w14:textId="77777777" w:rsidR="00BC7FAA" w:rsidRPr="00B50E6F" w:rsidRDefault="00BC7FAA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 w:rsidRPr="00B50E6F">
              <w:rPr>
                <w:rFonts w:eastAsia="Times"/>
                <w:lang w:eastAsia="en-US"/>
              </w:rPr>
              <w:t>2020/21</w:t>
            </w:r>
          </w:p>
        </w:tc>
        <w:tc>
          <w:tcPr>
            <w:tcW w:w="937" w:type="pct"/>
            <w:shd w:val="clear" w:color="auto" w:fill="D9D9D9"/>
          </w:tcPr>
          <w:p w14:paraId="741302DD" w14:textId="77777777" w:rsidR="00BC7FAA" w:rsidRPr="00B50E6F" w:rsidRDefault="00BC7FAA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 w:rsidRPr="00B50E6F">
              <w:rPr>
                <w:rFonts w:eastAsia="Times"/>
                <w:lang w:eastAsia="en-US"/>
              </w:rPr>
              <w:t>Total</w:t>
            </w:r>
          </w:p>
        </w:tc>
      </w:tr>
      <w:tr w:rsidR="00BC7FAA" w:rsidRPr="00B50E6F" w14:paraId="207B0F5E" w14:textId="77777777" w:rsidTr="004645AA">
        <w:trPr>
          <w:trHeight w:hRule="exact" w:val="637"/>
        </w:trPr>
        <w:tc>
          <w:tcPr>
            <w:tcW w:w="2161" w:type="pct"/>
            <w:shd w:val="clear" w:color="auto" w:fill="auto"/>
            <w:vAlign w:val="center"/>
          </w:tcPr>
          <w:p w14:paraId="7B53B565" w14:textId="77777777" w:rsidR="00BC7FAA" w:rsidRPr="00B50E6F" w:rsidRDefault="00BC7FAA" w:rsidP="00C2776E">
            <w:pPr>
              <w:contextualSpacing/>
              <w:rPr>
                <w:rFonts w:eastAsia="Times"/>
                <w:lang w:eastAsia="en-US"/>
              </w:rPr>
            </w:pPr>
            <w:r w:rsidRPr="00B50E6F">
              <w:rPr>
                <w:rFonts w:eastAsia="Times"/>
                <w:lang w:eastAsia="en-US"/>
              </w:rPr>
              <w:t>SELEP LGF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C88C8A0" w14:textId="2EE5CD56" w:rsidR="00BC7FAA" w:rsidRPr="00B50E6F" w:rsidRDefault="009745DB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>
              <w:rPr>
                <w:rFonts w:eastAsia="Times"/>
                <w:lang w:eastAsia="en-US"/>
              </w:rPr>
              <w:t>50,000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6858EC6" w14:textId="77777777" w:rsidR="00BC7FAA" w:rsidRPr="00B50E6F" w:rsidRDefault="00BC7FAA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 w:rsidRPr="00B50E6F">
              <w:rPr>
                <w:rFonts w:eastAsia="Times"/>
                <w:lang w:eastAsia="en-US"/>
              </w:rPr>
              <w:t>-</w:t>
            </w:r>
          </w:p>
        </w:tc>
        <w:tc>
          <w:tcPr>
            <w:tcW w:w="937" w:type="pct"/>
            <w:vAlign w:val="center"/>
          </w:tcPr>
          <w:p w14:paraId="3CC303F1" w14:textId="7323ED9B" w:rsidR="00BC7FAA" w:rsidRPr="00B50E6F" w:rsidRDefault="009745DB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>
              <w:rPr>
                <w:rFonts w:eastAsia="Times"/>
                <w:lang w:eastAsia="en-US"/>
              </w:rPr>
              <w:t>50,000</w:t>
            </w:r>
          </w:p>
        </w:tc>
      </w:tr>
      <w:tr w:rsidR="00BC7FAA" w:rsidRPr="00B50E6F" w14:paraId="2BD0DBE9" w14:textId="77777777" w:rsidTr="004645AA">
        <w:trPr>
          <w:trHeight w:hRule="exact" w:val="657"/>
        </w:trPr>
        <w:tc>
          <w:tcPr>
            <w:tcW w:w="2161" w:type="pct"/>
            <w:shd w:val="clear" w:color="auto" w:fill="auto"/>
            <w:vAlign w:val="center"/>
          </w:tcPr>
          <w:p w14:paraId="2C094252" w14:textId="77777777" w:rsidR="00BC7FAA" w:rsidRPr="00B50E6F" w:rsidRDefault="00BC7FAA" w:rsidP="00C2776E">
            <w:pPr>
              <w:contextualSpacing/>
              <w:rPr>
                <w:rFonts w:eastAsia="Times"/>
                <w:lang w:eastAsia="en-US"/>
              </w:rPr>
            </w:pPr>
            <w:r w:rsidRPr="00B50E6F">
              <w:rPr>
                <w:rFonts w:eastAsia="Times"/>
                <w:lang w:eastAsia="en-US"/>
              </w:rPr>
              <w:t>Colchester Institute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531EB630" w14:textId="7617F4D2" w:rsidR="00BC7FAA" w:rsidRPr="00B50E6F" w:rsidRDefault="009745DB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>
              <w:rPr>
                <w:rFonts w:eastAsia="Times"/>
                <w:lang w:eastAsia="en-US"/>
              </w:rPr>
              <w:t>30</w:t>
            </w:r>
            <w:r w:rsidR="00BC7FAA" w:rsidRPr="00B50E6F">
              <w:rPr>
                <w:rFonts w:eastAsia="Times"/>
                <w:lang w:eastAsia="en-US"/>
              </w:rPr>
              <w:t>,000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5C403A35" w14:textId="7000371C" w:rsidR="00BC7FAA" w:rsidRPr="00B50E6F" w:rsidRDefault="009745DB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>
              <w:rPr>
                <w:rFonts w:eastAsia="Times"/>
                <w:lang w:eastAsia="en-US"/>
              </w:rPr>
              <w:t>20</w:t>
            </w:r>
            <w:r w:rsidR="00BC7FAA" w:rsidRPr="00B50E6F">
              <w:rPr>
                <w:rFonts w:eastAsia="Times"/>
                <w:lang w:eastAsia="en-US"/>
              </w:rPr>
              <w:t>,000</w:t>
            </w:r>
          </w:p>
        </w:tc>
        <w:tc>
          <w:tcPr>
            <w:tcW w:w="937" w:type="pct"/>
            <w:vAlign w:val="center"/>
          </w:tcPr>
          <w:p w14:paraId="2705FD3D" w14:textId="0B364D11" w:rsidR="00BC7FAA" w:rsidRPr="00B50E6F" w:rsidRDefault="009745DB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>
              <w:rPr>
                <w:rFonts w:eastAsia="Times"/>
                <w:lang w:eastAsia="en-US"/>
              </w:rPr>
              <w:t>50</w:t>
            </w:r>
            <w:r w:rsidR="00BC7FAA" w:rsidRPr="00B50E6F">
              <w:rPr>
                <w:rFonts w:eastAsia="Times"/>
                <w:lang w:eastAsia="en-US"/>
              </w:rPr>
              <w:t>,000</w:t>
            </w:r>
          </w:p>
        </w:tc>
      </w:tr>
      <w:tr w:rsidR="00BC7FAA" w:rsidRPr="00B50E6F" w14:paraId="09EA808A" w14:textId="77777777" w:rsidTr="004645AA">
        <w:trPr>
          <w:trHeight w:hRule="exact" w:val="592"/>
        </w:trPr>
        <w:tc>
          <w:tcPr>
            <w:tcW w:w="2161" w:type="pct"/>
            <w:shd w:val="clear" w:color="auto" w:fill="auto"/>
            <w:vAlign w:val="center"/>
          </w:tcPr>
          <w:p w14:paraId="06914FD1" w14:textId="69F5361F" w:rsidR="00BC7FAA" w:rsidRPr="00B50E6F" w:rsidRDefault="00BC7FAA" w:rsidP="00C2776E">
            <w:pPr>
              <w:contextualSpacing/>
              <w:rPr>
                <w:rFonts w:eastAsia="Times"/>
                <w:lang w:eastAsia="en-US"/>
              </w:rPr>
            </w:pPr>
            <w:r w:rsidRPr="00B50E6F">
              <w:rPr>
                <w:rFonts w:eastAsia="Times"/>
                <w:lang w:eastAsia="en-US"/>
              </w:rPr>
              <w:t>Employer Group</w:t>
            </w:r>
            <w:r>
              <w:rPr>
                <w:rFonts w:eastAsia="Times"/>
                <w:lang w:eastAsia="en-US"/>
              </w:rPr>
              <w:t>s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629B6097" w14:textId="77777777" w:rsidR="00BC7FAA" w:rsidRPr="00B50E6F" w:rsidRDefault="00BC7FAA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 w:rsidRPr="00B50E6F">
              <w:rPr>
                <w:rFonts w:eastAsia="Times"/>
                <w:lang w:eastAsia="en-US"/>
              </w:rPr>
              <w:t>50,000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7DD56315" w14:textId="77777777" w:rsidR="00BC7FAA" w:rsidRPr="00B50E6F" w:rsidRDefault="00BC7FAA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</w:p>
        </w:tc>
        <w:tc>
          <w:tcPr>
            <w:tcW w:w="937" w:type="pct"/>
            <w:vAlign w:val="center"/>
          </w:tcPr>
          <w:p w14:paraId="7E4721D9" w14:textId="77777777" w:rsidR="00BC7FAA" w:rsidRPr="00B50E6F" w:rsidRDefault="00BC7FAA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 w:rsidRPr="00B50E6F">
              <w:rPr>
                <w:rFonts w:eastAsia="Times"/>
                <w:lang w:eastAsia="en-US"/>
              </w:rPr>
              <w:t>50,000</w:t>
            </w:r>
          </w:p>
        </w:tc>
      </w:tr>
      <w:tr w:rsidR="00BC7FAA" w:rsidRPr="00B50E6F" w14:paraId="12D561F3" w14:textId="77777777" w:rsidTr="004645AA">
        <w:trPr>
          <w:trHeight w:hRule="exact" w:val="584"/>
        </w:trPr>
        <w:tc>
          <w:tcPr>
            <w:tcW w:w="2161" w:type="pct"/>
            <w:shd w:val="clear" w:color="auto" w:fill="auto"/>
            <w:vAlign w:val="center"/>
          </w:tcPr>
          <w:p w14:paraId="0451E79B" w14:textId="77777777" w:rsidR="00BC7FAA" w:rsidRPr="00B50E6F" w:rsidRDefault="00BC7FAA" w:rsidP="00C2776E">
            <w:pPr>
              <w:contextualSpacing/>
              <w:rPr>
                <w:rFonts w:eastAsia="Times"/>
                <w:lang w:eastAsia="en-US"/>
              </w:rPr>
            </w:pPr>
            <w:r w:rsidRPr="00B50E6F">
              <w:rPr>
                <w:rFonts w:eastAsia="Times"/>
                <w:lang w:eastAsia="en-US"/>
              </w:rPr>
              <w:t>Total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313F39E" w14:textId="083D9B60" w:rsidR="00BC7FAA" w:rsidRPr="00B50E6F" w:rsidRDefault="00666E3E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>
              <w:rPr>
                <w:rFonts w:eastAsia="Times"/>
                <w:lang w:eastAsia="en-US"/>
              </w:rPr>
              <w:t>£</w:t>
            </w:r>
            <w:r w:rsidR="009745DB">
              <w:rPr>
                <w:rFonts w:eastAsia="Times"/>
                <w:lang w:eastAsia="en-US"/>
              </w:rPr>
              <w:t>130</w:t>
            </w:r>
            <w:r w:rsidR="00BC7FAA" w:rsidRPr="00B50E6F">
              <w:rPr>
                <w:rFonts w:eastAsia="Times"/>
                <w:lang w:eastAsia="en-US"/>
              </w:rPr>
              <w:t>,000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2F7593DF" w14:textId="782412EE" w:rsidR="00BC7FAA" w:rsidRPr="00B50E6F" w:rsidRDefault="00666E3E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>
              <w:rPr>
                <w:rFonts w:eastAsia="Times"/>
                <w:lang w:eastAsia="en-US"/>
              </w:rPr>
              <w:t>£20,000</w:t>
            </w:r>
          </w:p>
        </w:tc>
        <w:tc>
          <w:tcPr>
            <w:tcW w:w="937" w:type="pct"/>
            <w:vAlign w:val="center"/>
          </w:tcPr>
          <w:p w14:paraId="4CB69094" w14:textId="14B7C034" w:rsidR="00BC7FAA" w:rsidRPr="00B50E6F" w:rsidRDefault="00666E3E" w:rsidP="00C2776E">
            <w:pPr>
              <w:contextualSpacing/>
              <w:jc w:val="center"/>
              <w:rPr>
                <w:rFonts w:eastAsia="Times"/>
                <w:lang w:eastAsia="en-US"/>
              </w:rPr>
            </w:pPr>
            <w:r>
              <w:rPr>
                <w:rFonts w:eastAsia="Times"/>
                <w:lang w:eastAsia="en-US"/>
              </w:rPr>
              <w:t>£</w:t>
            </w:r>
            <w:r w:rsidR="009745DB">
              <w:rPr>
                <w:rFonts w:eastAsia="Times"/>
                <w:lang w:eastAsia="en-US"/>
              </w:rPr>
              <w:t>150,000</w:t>
            </w:r>
          </w:p>
        </w:tc>
      </w:tr>
    </w:tbl>
    <w:p w14:paraId="5F0715C1" w14:textId="77777777" w:rsidR="00C314C9" w:rsidRDefault="00C314C9" w:rsidP="00C314C9">
      <w:pPr>
        <w:pStyle w:val="ListParagraph"/>
        <w:rPr>
          <w:lang w:eastAsia="en-US"/>
        </w:rPr>
      </w:pPr>
    </w:p>
    <w:p w14:paraId="010D8B64" w14:textId="1AF722AF" w:rsidR="004E779A" w:rsidRDefault="0061547F" w:rsidP="004645AA">
      <w:pPr>
        <w:ind w:left="720" w:hanging="720"/>
        <w:contextualSpacing/>
        <w:rPr>
          <w:lang w:eastAsia="en-US"/>
        </w:rPr>
      </w:pPr>
      <w:r>
        <w:rPr>
          <w:lang w:eastAsia="en-US"/>
        </w:rPr>
        <w:t>8.3</w:t>
      </w:r>
      <w:r w:rsidR="001478B7">
        <w:rPr>
          <w:lang w:eastAsia="en-US"/>
        </w:rPr>
        <w:tab/>
      </w:r>
      <w:r w:rsidR="0064389C">
        <w:rPr>
          <w:lang w:eastAsia="en-US"/>
        </w:rPr>
        <w:t xml:space="preserve">The recommendation is for the Board to approve the </w:t>
      </w:r>
      <w:r w:rsidR="009745DB" w:rsidRPr="009745DB">
        <w:rPr>
          <w:lang w:eastAsia="en-US"/>
        </w:rPr>
        <w:t xml:space="preserve">LGF allocation to reduce by 50% from £100,000 to £50,000 (from 40% to 33% </w:t>
      </w:r>
      <w:r w:rsidR="009745DB">
        <w:rPr>
          <w:lang w:eastAsia="en-US"/>
        </w:rPr>
        <w:tab/>
      </w:r>
      <w:r w:rsidR="009745DB" w:rsidRPr="009745DB">
        <w:rPr>
          <w:lang w:eastAsia="en-US"/>
        </w:rPr>
        <w:t>of remaining project cost)</w:t>
      </w:r>
    </w:p>
    <w:p w14:paraId="50383C29" w14:textId="77777777" w:rsidR="009745DB" w:rsidRPr="00EC41AB" w:rsidRDefault="009745DB" w:rsidP="009745DB">
      <w:pPr>
        <w:contextualSpacing/>
        <w:rPr>
          <w:b/>
          <w:color w:val="92D050"/>
          <w:lang w:eastAsia="en-US"/>
        </w:rPr>
      </w:pPr>
    </w:p>
    <w:p w14:paraId="78968C25" w14:textId="15FA4E8C" w:rsidR="003546EF" w:rsidRDefault="0061547F" w:rsidP="00F550AE">
      <w:pPr>
        <w:contextualSpacing/>
        <w:rPr>
          <w:b/>
          <w:lang w:eastAsia="en-US"/>
        </w:rPr>
      </w:pPr>
      <w:r>
        <w:rPr>
          <w:b/>
          <w:lang w:eastAsia="en-US"/>
        </w:rPr>
        <w:t>9</w:t>
      </w:r>
      <w:r w:rsidR="009745DB">
        <w:rPr>
          <w:b/>
          <w:lang w:eastAsia="en-US"/>
        </w:rPr>
        <w:tab/>
      </w:r>
      <w:r w:rsidR="006419E0" w:rsidRPr="00C314C9">
        <w:rPr>
          <w:b/>
          <w:lang w:eastAsia="en-US"/>
        </w:rPr>
        <w:t xml:space="preserve">Outcome of </w:t>
      </w:r>
      <w:r w:rsidR="00160CB3" w:rsidRPr="00C314C9">
        <w:rPr>
          <w:b/>
          <w:lang w:eastAsia="en-US"/>
        </w:rPr>
        <w:t>ITE Review</w:t>
      </w:r>
    </w:p>
    <w:p w14:paraId="09B99B4A" w14:textId="30871850" w:rsidR="00F550AE" w:rsidRDefault="00F550AE" w:rsidP="00F550AE">
      <w:pPr>
        <w:contextualSpacing/>
        <w:rPr>
          <w:b/>
          <w:lang w:eastAsia="en-US"/>
        </w:rPr>
      </w:pPr>
    </w:p>
    <w:p w14:paraId="4D3557BC" w14:textId="3EA40276" w:rsidR="00F550AE" w:rsidRDefault="0061547F" w:rsidP="00F550AE">
      <w:pPr>
        <w:contextualSpacing/>
        <w:rPr>
          <w:lang w:eastAsia="en-US"/>
        </w:rPr>
      </w:pPr>
      <w:r>
        <w:rPr>
          <w:bCs/>
          <w:lang w:eastAsia="en-US"/>
        </w:rPr>
        <w:t>9</w:t>
      </w:r>
      <w:r w:rsidR="00F550AE">
        <w:rPr>
          <w:bCs/>
          <w:lang w:eastAsia="en-US"/>
        </w:rPr>
        <w:t>.1</w:t>
      </w:r>
      <w:r w:rsidR="00F550AE">
        <w:rPr>
          <w:bCs/>
          <w:lang w:eastAsia="en-US"/>
        </w:rPr>
        <w:tab/>
      </w:r>
      <w:r w:rsidR="00F550AE" w:rsidRPr="00F550AE">
        <w:rPr>
          <w:lang w:eastAsia="en-US"/>
        </w:rPr>
        <w:t xml:space="preserve">SELEP Assurance Framework states that any variations to a project’s </w:t>
      </w:r>
      <w:r w:rsidR="00F550AE" w:rsidRPr="00F550AE">
        <w:rPr>
          <w:lang w:eastAsia="en-US"/>
        </w:rPr>
        <w:tab/>
        <w:t xml:space="preserve">costs, scope, outcomes or outputs from the information specified in the </w:t>
      </w:r>
      <w:r w:rsidR="00F550AE" w:rsidRPr="00F550AE">
        <w:rPr>
          <w:lang w:eastAsia="en-US"/>
        </w:rPr>
        <w:tab/>
        <w:t xml:space="preserve">Business Case must be reported to the Accountability Board. When the </w:t>
      </w:r>
      <w:r w:rsidR="00F550AE" w:rsidRPr="00F550AE">
        <w:rPr>
          <w:lang w:eastAsia="en-US"/>
        </w:rPr>
        <w:tab/>
        <w:t xml:space="preserve">changes are expected to have a substantial impact on forecast project </w:t>
      </w:r>
      <w:r w:rsidR="00F550AE" w:rsidRPr="00F550AE">
        <w:rPr>
          <w:lang w:eastAsia="en-US"/>
        </w:rPr>
        <w:tab/>
        <w:t xml:space="preserve">benefits, outputs and outcomes as agreed in the business case which </w:t>
      </w:r>
      <w:r w:rsidR="00F550AE" w:rsidRPr="00F550AE">
        <w:rPr>
          <w:lang w:eastAsia="en-US"/>
        </w:rPr>
        <w:tab/>
        <w:t xml:space="preserve">may detrimentally impact on the Value for Money assessment, it is expected </w:t>
      </w:r>
      <w:r w:rsidR="00F550AE">
        <w:rPr>
          <w:lang w:eastAsia="en-US"/>
        </w:rPr>
        <w:tab/>
      </w:r>
      <w:r w:rsidR="00F550AE" w:rsidRPr="00F550AE">
        <w:rPr>
          <w:lang w:eastAsia="en-US"/>
        </w:rPr>
        <w:t>that the business case should be re-evaluated by the ITE.</w:t>
      </w:r>
    </w:p>
    <w:p w14:paraId="78EB2E08" w14:textId="77777777" w:rsidR="00F550AE" w:rsidRDefault="00F550AE" w:rsidP="00F550AE">
      <w:pPr>
        <w:contextualSpacing/>
        <w:rPr>
          <w:lang w:eastAsia="en-US"/>
        </w:rPr>
      </w:pPr>
    </w:p>
    <w:p w14:paraId="2016FB71" w14:textId="34FF4C26" w:rsidR="00F550AE" w:rsidRDefault="0061547F" w:rsidP="00F550AE">
      <w:pPr>
        <w:contextualSpacing/>
        <w:rPr>
          <w:lang w:eastAsia="en-US"/>
        </w:rPr>
      </w:pPr>
      <w:r>
        <w:rPr>
          <w:lang w:eastAsia="en-US"/>
        </w:rPr>
        <w:t>9</w:t>
      </w:r>
      <w:r w:rsidR="00F550AE">
        <w:rPr>
          <w:lang w:eastAsia="en-US"/>
        </w:rPr>
        <w:t>.2</w:t>
      </w:r>
      <w:r w:rsidR="00F550AE">
        <w:rPr>
          <w:lang w:eastAsia="en-US"/>
        </w:rPr>
        <w:tab/>
      </w:r>
      <w:r w:rsidR="00F550AE" w:rsidRPr="00F550AE">
        <w:rPr>
          <w:lang w:eastAsia="en-US"/>
        </w:rPr>
        <w:t>The original business case for</w:t>
      </w:r>
      <w:r w:rsidR="00D86659">
        <w:rPr>
          <w:lang w:eastAsia="en-US"/>
        </w:rPr>
        <w:t xml:space="preserve"> the Project</w:t>
      </w:r>
      <w:r w:rsidR="00F550AE" w:rsidRPr="00F550AE">
        <w:rPr>
          <w:lang w:eastAsia="en-US"/>
        </w:rPr>
        <w:t xml:space="preserve">, as reviewed by </w:t>
      </w:r>
      <w:r w:rsidR="00D86659">
        <w:rPr>
          <w:lang w:eastAsia="en-US"/>
        </w:rPr>
        <w:t xml:space="preserve">the ITE </w:t>
      </w:r>
      <w:r w:rsidR="00F550AE" w:rsidRPr="00F550AE">
        <w:rPr>
          <w:lang w:eastAsia="en-US"/>
        </w:rPr>
        <w:t xml:space="preserve">in June </w:t>
      </w:r>
      <w:r w:rsidR="000B3B29">
        <w:rPr>
          <w:lang w:eastAsia="en-US"/>
        </w:rPr>
        <w:tab/>
      </w:r>
      <w:r w:rsidR="00F550AE" w:rsidRPr="00F550AE">
        <w:rPr>
          <w:lang w:eastAsia="en-US"/>
        </w:rPr>
        <w:t xml:space="preserve">2019 was based on a </w:t>
      </w:r>
      <w:r w:rsidR="00D86659">
        <w:rPr>
          <w:lang w:eastAsia="en-US"/>
        </w:rPr>
        <w:t xml:space="preserve">Project </w:t>
      </w:r>
      <w:r w:rsidR="00F550AE" w:rsidRPr="00F550AE">
        <w:rPr>
          <w:lang w:eastAsia="en-US"/>
        </w:rPr>
        <w:t xml:space="preserve"> cost of £250,000, with a</w:t>
      </w:r>
      <w:r w:rsidR="00D86659">
        <w:rPr>
          <w:lang w:eastAsia="en-US"/>
        </w:rPr>
        <w:t xml:space="preserve"> benefit to cost ratio </w:t>
      </w:r>
      <w:r w:rsidR="000B3B29">
        <w:rPr>
          <w:lang w:eastAsia="en-US"/>
        </w:rPr>
        <w:tab/>
      </w:r>
      <w:r w:rsidR="00D86659">
        <w:rPr>
          <w:lang w:eastAsia="en-US"/>
        </w:rPr>
        <w:t>(</w:t>
      </w:r>
      <w:r w:rsidR="00F550AE" w:rsidRPr="00F550AE">
        <w:rPr>
          <w:lang w:eastAsia="en-US"/>
        </w:rPr>
        <w:t>BCR</w:t>
      </w:r>
      <w:r w:rsidR="00D86659">
        <w:rPr>
          <w:lang w:eastAsia="en-US"/>
        </w:rPr>
        <w:t>)</w:t>
      </w:r>
      <w:r w:rsidR="00F550AE" w:rsidRPr="00F550AE">
        <w:rPr>
          <w:lang w:eastAsia="en-US"/>
        </w:rPr>
        <w:t xml:space="preserve"> of 5.64:1. This represented very high value for money, with a </w:t>
      </w:r>
      <w:r w:rsidR="000B3B29">
        <w:rPr>
          <w:lang w:eastAsia="en-US"/>
        </w:rPr>
        <w:tab/>
      </w:r>
      <w:r w:rsidR="00F550AE" w:rsidRPr="00F550AE">
        <w:rPr>
          <w:lang w:eastAsia="en-US"/>
        </w:rPr>
        <w:t>medium/high level of certainty of that value for money.</w:t>
      </w:r>
    </w:p>
    <w:p w14:paraId="4D168E01" w14:textId="77777777" w:rsidR="00F550AE" w:rsidRDefault="00F550AE" w:rsidP="00F550AE">
      <w:pPr>
        <w:contextualSpacing/>
        <w:rPr>
          <w:lang w:eastAsia="en-US"/>
        </w:rPr>
      </w:pPr>
    </w:p>
    <w:p w14:paraId="3D68E69A" w14:textId="41191B22" w:rsidR="00D86659" w:rsidRDefault="0061547F" w:rsidP="00F550AE">
      <w:pPr>
        <w:contextualSpacing/>
        <w:rPr>
          <w:lang w:eastAsia="en-US"/>
        </w:rPr>
      </w:pPr>
      <w:r>
        <w:rPr>
          <w:lang w:eastAsia="en-US"/>
        </w:rPr>
        <w:t>9</w:t>
      </w:r>
      <w:r w:rsidR="00F550AE">
        <w:rPr>
          <w:lang w:eastAsia="en-US"/>
        </w:rPr>
        <w:t>.3</w:t>
      </w:r>
      <w:r w:rsidR="00F550AE">
        <w:rPr>
          <w:lang w:eastAsia="en-US"/>
        </w:rPr>
        <w:tab/>
        <w:t xml:space="preserve">Given </w:t>
      </w:r>
      <w:r w:rsidR="00F550AE" w:rsidRPr="00F550AE">
        <w:rPr>
          <w:lang w:eastAsia="en-US"/>
        </w:rPr>
        <w:t xml:space="preserve">the fact that the </w:t>
      </w:r>
      <w:r w:rsidR="00D86659">
        <w:rPr>
          <w:lang w:eastAsia="en-US"/>
        </w:rPr>
        <w:t>Project</w:t>
      </w:r>
      <w:r w:rsidR="00F550AE" w:rsidRPr="00F550AE">
        <w:rPr>
          <w:lang w:eastAsia="en-US"/>
        </w:rPr>
        <w:t xml:space="preserve"> is in its delivery phase, </w:t>
      </w:r>
      <w:r w:rsidR="00D86659">
        <w:rPr>
          <w:lang w:eastAsia="en-US"/>
        </w:rPr>
        <w:t>the</w:t>
      </w:r>
      <w:r w:rsidR="00F550AE" w:rsidRPr="00F550AE">
        <w:rPr>
          <w:lang w:eastAsia="en-US"/>
        </w:rPr>
        <w:t xml:space="preserve"> uncertainty about </w:t>
      </w:r>
      <w:r w:rsidR="00F550AE">
        <w:rPr>
          <w:lang w:eastAsia="en-US"/>
        </w:rPr>
        <w:tab/>
      </w:r>
      <w:r w:rsidR="00F550AE" w:rsidRPr="00F550AE">
        <w:rPr>
          <w:lang w:eastAsia="en-US"/>
        </w:rPr>
        <w:t>the delivery and benefits realisation</w:t>
      </w:r>
      <w:r w:rsidR="00D86659">
        <w:rPr>
          <w:lang w:eastAsia="en-US"/>
        </w:rPr>
        <w:t xml:space="preserve"> from the Project</w:t>
      </w:r>
      <w:r w:rsidR="00F550AE" w:rsidRPr="00F550AE">
        <w:rPr>
          <w:lang w:eastAsia="en-US"/>
        </w:rPr>
        <w:t xml:space="preserve"> </w:t>
      </w:r>
      <w:r w:rsidR="00D86659">
        <w:rPr>
          <w:lang w:eastAsia="en-US"/>
        </w:rPr>
        <w:t>has</w:t>
      </w:r>
      <w:r w:rsidR="00F550AE" w:rsidRPr="00F550AE">
        <w:rPr>
          <w:lang w:eastAsia="en-US"/>
        </w:rPr>
        <w:t xml:space="preserve"> be</w:t>
      </w:r>
      <w:r w:rsidR="00D86659">
        <w:rPr>
          <w:lang w:eastAsia="en-US"/>
        </w:rPr>
        <w:t>en</w:t>
      </w:r>
      <w:r w:rsidR="00F550AE" w:rsidRPr="00F550AE">
        <w:rPr>
          <w:lang w:eastAsia="en-US"/>
        </w:rPr>
        <w:t xml:space="preserve"> reduced. </w:t>
      </w:r>
    </w:p>
    <w:p w14:paraId="2D0B6829" w14:textId="3CE6D0F2" w:rsidR="003546EF" w:rsidRPr="00F550AE" w:rsidRDefault="000B3B29" w:rsidP="00F550AE">
      <w:pPr>
        <w:contextualSpacing/>
        <w:rPr>
          <w:lang w:eastAsia="en-US"/>
        </w:rPr>
      </w:pPr>
      <w:r>
        <w:rPr>
          <w:lang w:eastAsia="en-US"/>
        </w:rPr>
        <w:tab/>
      </w:r>
      <w:r w:rsidR="00D86659">
        <w:rPr>
          <w:lang w:eastAsia="en-US"/>
        </w:rPr>
        <w:t>The change request for the Project has been reviewed by the ITE</w:t>
      </w:r>
      <w:r w:rsidR="0068391E">
        <w:rPr>
          <w:lang w:eastAsia="en-US"/>
        </w:rPr>
        <w:t xml:space="preserve">. The ITE </w:t>
      </w:r>
      <w:r>
        <w:rPr>
          <w:lang w:eastAsia="en-US"/>
        </w:rPr>
        <w:tab/>
      </w:r>
      <w:r w:rsidR="0068391E">
        <w:rPr>
          <w:lang w:eastAsia="en-US"/>
        </w:rPr>
        <w:t xml:space="preserve">assessment confirms that the Project continues to </w:t>
      </w:r>
      <w:r w:rsidR="00F550AE" w:rsidRPr="00F550AE">
        <w:rPr>
          <w:lang w:eastAsia="en-US"/>
        </w:rPr>
        <w:t xml:space="preserve">represent very high value </w:t>
      </w:r>
      <w:r>
        <w:rPr>
          <w:lang w:eastAsia="en-US"/>
        </w:rPr>
        <w:tab/>
      </w:r>
      <w:r w:rsidR="00F550AE" w:rsidRPr="00F550AE">
        <w:rPr>
          <w:lang w:eastAsia="en-US"/>
        </w:rPr>
        <w:t>for money with high certainty of achieving that value for money.</w:t>
      </w:r>
    </w:p>
    <w:p w14:paraId="20FF1452" w14:textId="77777777" w:rsidR="003546EF" w:rsidRPr="00EC41AB" w:rsidRDefault="003546EF" w:rsidP="002F43B8">
      <w:pPr>
        <w:ind w:left="709"/>
        <w:contextualSpacing/>
        <w:rPr>
          <w:b/>
          <w:color w:val="92D050"/>
          <w:lang w:eastAsia="en-US"/>
        </w:rPr>
      </w:pPr>
    </w:p>
    <w:p w14:paraId="47AC2B5B" w14:textId="435BB7C9" w:rsidR="00160CB3" w:rsidRPr="00CE0F39" w:rsidRDefault="0061547F" w:rsidP="004645AA">
      <w:pPr>
        <w:contextualSpacing/>
        <w:rPr>
          <w:b/>
          <w:lang w:eastAsia="en-US"/>
        </w:rPr>
      </w:pPr>
      <w:r>
        <w:rPr>
          <w:b/>
          <w:lang w:eastAsia="en-US"/>
        </w:rPr>
        <w:t>10</w:t>
      </w:r>
      <w:r>
        <w:rPr>
          <w:b/>
          <w:lang w:eastAsia="en-US"/>
        </w:rPr>
        <w:tab/>
      </w:r>
      <w:r w:rsidR="00160CB3" w:rsidRPr="00CE0F39">
        <w:rPr>
          <w:b/>
          <w:lang w:eastAsia="en-US"/>
        </w:rPr>
        <w:t>Project Compliance with SELE</w:t>
      </w:r>
      <w:r w:rsidR="006419E0" w:rsidRPr="00CE0F39">
        <w:rPr>
          <w:b/>
          <w:lang w:eastAsia="en-US"/>
        </w:rPr>
        <w:t>P</w:t>
      </w:r>
      <w:r w:rsidR="00160CB3" w:rsidRPr="00CE0F39">
        <w:rPr>
          <w:b/>
          <w:lang w:eastAsia="en-US"/>
        </w:rPr>
        <w:t xml:space="preserve"> Assurance Framework</w:t>
      </w:r>
    </w:p>
    <w:p w14:paraId="33080DF6" w14:textId="77777777" w:rsidR="00490412" w:rsidRPr="00CE0F39" w:rsidRDefault="00490412" w:rsidP="00490412">
      <w:pPr>
        <w:ind w:left="709"/>
        <w:contextualSpacing/>
        <w:rPr>
          <w:b/>
          <w:lang w:eastAsia="en-US"/>
        </w:rPr>
      </w:pPr>
    </w:p>
    <w:p w14:paraId="570C7048" w14:textId="7B32AC35" w:rsidR="00490412" w:rsidRPr="00CE0F39" w:rsidRDefault="0061547F" w:rsidP="004645AA">
      <w:pPr>
        <w:contextualSpacing/>
        <w:rPr>
          <w:lang w:eastAsia="en-US"/>
        </w:rPr>
      </w:pPr>
      <w:r>
        <w:rPr>
          <w:lang w:eastAsia="en-US"/>
        </w:rPr>
        <w:t>10.1</w:t>
      </w:r>
      <w:r>
        <w:rPr>
          <w:lang w:eastAsia="en-US"/>
        </w:rPr>
        <w:tab/>
      </w:r>
      <w:r w:rsidR="00490412" w:rsidRPr="00CE0F39">
        <w:rPr>
          <w:lang w:eastAsia="en-US"/>
        </w:rPr>
        <w:t xml:space="preserve">Table </w:t>
      </w:r>
      <w:r w:rsidR="003C3125">
        <w:rPr>
          <w:lang w:eastAsia="en-US"/>
        </w:rPr>
        <w:t>3</w:t>
      </w:r>
      <w:r w:rsidR="00490412" w:rsidRPr="00CE0F39">
        <w:rPr>
          <w:lang w:eastAsia="en-US"/>
        </w:rPr>
        <w:t xml:space="preserve"> below considers the assessment of the </w:t>
      </w:r>
      <w:r w:rsidR="000555C8" w:rsidRPr="00CE0F39">
        <w:rPr>
          <w:lang w:eastAsia="en-US"/>
        </w:rPr>
        <w:t>B</w:t>
      </w:r>
      <w:r w:rsidR="00490412" w:rsidRPr="00CE0F39">
        <w:rPr>
          <w:lang w:eastAsia="en-US"/>
        </w:rPr>
        <w:t xml:space="preserve">usiness </w:t>
      </w:r>
      <w:r w:rsidR="000555C8" w:rsidRPr="00CE0F39">
        <w:rPr>
          <w:lang w:eastAsia="en-US"/>
        </w:rPr>
        <w:t>C</w:t>
      </w:r>
      <w:r w:rsidR="00490412" w:rsidRPr="00CE0F39">
        <w:rPr>
          <w:lang w:eastAsia="en-US"/>
        </w:rPr>
        <w:t xml:space="preserve">ase against the </w:t>
      </w:r>
      <w:r>
        <w:rPr>
          <w:lang w:eastAsia="en-US"/>
        </w:rPr>
        <w:tab/>
      </w:r>
      <w:r w:rsidR="00490412" w:rsidRPr="00CE0F39">
        <w:rPr>
          <w:lang w:eastAsia="en-US"/>
        </w:rPr>
        <w:t xml:space="preserve">requirements of the SELEP Assurance Framework. The assessment confirms </w:t>
      </w:r>
      <w:r>
        <w:rPr>
          <w:lang w:eastAsia="en-US"/>
        </w:rPr>
        <w:tab/>
      </w:r>
      <w:r w:rsidR="00490412" w:rsidRPr="00CE0F39">
        <w:rPr>
          <w:lang w:eastAsia="en-US"/>
        </w:rPr>
        <w:t>the compliance of the Project with SELEP’s Assurance Framework.</w:t>
      </w:r>
    </w:p>
    <w:p w14:paraId="082549AB" w14:textId="77777777" w:rsidR="00C40077" w:rsidRPr="00CE0F39" w:rsidRDefault="00C40077" w:rsidP="00160CB3">
      <w:pPr>
        <w:pStyle w:val="ListParagraph"/>
        <w:ind w:left="0"/>
        <w:rPr>
          <w:b/>
          <w:lang w:eastAsia="en-US"/>
        </w:rPr>
      </w:pPr>
    </w:p>
    <w:p w14:paraId="0C413162" w14:textId="62056AAF" w:rsidR="00160CB3" w:rsidRPr="00CE0F39" w:rsidRDefault="006419E0" w:rsidP="00160CB3">
      <w:pPr>
        <w:autoSpaceDE w:val="0"/>
        <w:autoSpaceDN w:val="0"/>
        <w:adjustRightInd w:val="0"/>
        <w:rPr>
          <w:rFonts w:eastAsia="Times New Roman"/>
          <w:b/>
        </w:rPr>
      </w:pPr>
      <w:r w:rsidRPr="00CE0F39">
        <w:rPr>
          <w:rFonts w:eastAsia="Times New Roman"/>
          <w:b/>
        </w:rPr>
        <w:t xml:space="preserve">Table </w:t>
      </w:r>
      <w:r w:rsidR="003C3125">
        <w:rPr>
          <w:rFonts w:eastAsia="Times New Roman"/>
          <w:b/>
        </w:rPr>
        <w:t>3</w:t>
      </w:r>
      <w:r w:rsidR="000555C8" w:rsidRPr="00CE0F39">
        <w:rPr>
          <w:rFonts w:eastAsia="Times New Roman"/>
          <w:b/>
        </w:rPr>
        <w:t xml:space="preserve"> - </w:t>
      </w:r>
      <w:r w:rsidR="00E53CBB" w:rsidRPr="00CE0F39">
        <w:rPr>
          <w:rFonts w:eastAsia="Times New Roman"/>
          <w:b/>
        </w:rPr>
        <w:t>A</w:t>
      </w:r>
      <w:r w:rsidR="00160CB3" w:rsidRPr="00CE0F39">
        <w:rPr>
          <w:rFonts w:eastAsia="Times New Roman"/>
          <w:b/>
        </w:rPr>
        <w:t xml:space="preserve">ssessment </w:t>
      </w:r>
      <w:r w:rsidR="00E53CBB" w:rsidRPr="00CE0F39">
        <w:rPr>
          <w:rFonts w:eastAsia="Times New Roman"/>
          <w:b/>
        </w:rPr>
        <w:t xml:space="preserve">of the Project </w:t>
      </w:r>
      <w:r w:rsidR="00160CB3" w:rsidRPr="00CE0F39">
        <w:rPr>
          <w:rFonts w:eastAsia="Times New Roman"/>
          <w:b/>
        </w:rPr>
        <w:t>against the requirements of the SELEP Assurance Framework</w:t>
      </w:r>
    </w:p>
    <w:p w14:paraId="3C1024D7" w14:textId="77777777" w:rsidR="00E53CBB" w:rsidRPr="00EC41AB" w:rsidRDefault="00E53CBB" w:rsidP="00160CB3">
      <w:pPr>
        <w:autoSpaceDE w:val="0"/>
        <w:autoSpaceDN w:val="0"/>
        <w:adjustRightInd w:val="0"/>
        <w:rPr>
          <w:rFonts w:eastAsia="Times New Roman"/>
          <w:b/>
          <w:i/>
          <w:color w:val="92D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642"/>
        <w:gridCol w:w="3718"/>
      </w:tblGrid>
      <w:tr w:rsidR="00EC41AB" w:rsidRPr="00EC41AB" w14:paraId="08EAF896" w14:textId="77777777" w:rsidTr="0067291F">
        <w:trPr>
          <w:tblHeader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1456" w14:textId="77777777" w:rsidR="003A0924" w:rsidRPr="003546EF" w:rsidRDefault="003A0924" w:rsidP="00A4320F">
            <w:pPr>
              <w:autoSpaceDE w:val="0"/>
              <w:autoSpaceDN w:val="0"/>
              <w:adjustRightInd w:val="0"/>
              <w:rPr>
                <w:rFonts w:eastAsia="Times"/>
                <w:b/>
                <w:bCs/>
              </w:rPr>
            </w:pPr>
            <w:r w:rsidRPr="003546EF">
              <w:rPr>
                <w:rFonts w:eastAsia="Times"/>
                <w:b/>
                <w:bCs/>
              </w:rPr>
              <w:t>Requirement of the</w:t>
            </w:r>
          </w:p>
          <w:p w14:paraId="17B304FB" w14:textId="77777777" w:rsidR="003A0924" w:rsidRPr="003546EF" w:rsidRDefault="003A0924" w:rsidP="00A4320F">
            <w:pPr>
              <w:autoSpaceDE w:val="0"/>
              <w:autoSpaceDN w:val="0"/>
              <w:adjustRightInd w:val="0"/>
              <w:rPr>
                <w:rFonts w:eastAsia="Times"/>
                <w:b/>
                <w:bCs/>
              </w:rPr>
            </w:pPr>
            <w:r w:rsidRPr="003546EF">
              <w:rPr>
                <w:rFonts w:eastAsia="Times"/>
                <w:b/>
                <w:bCs/>
              </w:rPr>
              <w:t>Assurance Framework</w:t>
            </w:r>
          </w:p>
          <w:p w14:paraId="49D2CD93" w14:textId="77777777" w:rsidR="003A0924" w:rsidRPr="003546EF" w:rsidRDefault="003A0924" w:rsidP="00A4320F">
            <w:pPr>
              <w:autoSpaceDE w:val="0"/>
              <w:autoSpaceDN w:val="0"/>
              <w:adjustRightInd w:val="0"/>
              <w:rPr>
                <w:rFonts w:eastAsia="Times"/>
                <w:b/>
                <w:bCs/>
              </w:rPr>
            </w:pPr>
            <w:r w:rsidRPr="003546EF">
              <w:rPr>
                <w:rFonts w:eastAsia="Times"/>
                <w:b/>
                <w:bCs/>
              </w:rPr>
              <w:t>to approve the project</w:t>
            </w:r>
          </w:p>
          <w:p w14:paraId="372569AD" w14:textId="77777777" w:rsidR="003A0924" w:rsidRPr="003546EF" w:rsidRDefault="003A0924">
            <w:pPr>
              <w:rPr>
                <w:rFonts w:eastAsia="Times"/>
                <w:sz w:val="22"/>
                <w:szCs w:val="22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38E" w14:textId="77777777" w:rsidR="003A0924" w:rsidRPr="003546EF" w:rsidRDefault="003A0924">
            <w:pPr>
              <w:rPr>
                <w:rFonts w:eastAsia="Times"/>
                <w:sz w:val="22"/>
                <w:szCs w:val="22"/>
                <w:lang w:eastAsia="en-US"/>
              </w:rPr>
            </w:pPr>
            <w:r w:rsidRPr="003546EF">
              <w:rPr>
                <w:rFonts w:eastAsia="Times"/>
                <w:b/>
                <w:bCs/>
              </w:rPr>
              <w:t>Compliance (RAG Rating)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6307" w14:textId="77777777" w:rsidR="003A0924" w:rsidRPr="003546EF" w:rsidRDefault="003A0924">
            <w:pPr>
              <w:rPr>
                <w:rFonts w:ascii="Times" w:eastAsia="Times" w:hAnsi="Times" w:cs="Times New Roman"/>
                <w:sz w:val="22"/>
                <w:szCs w:val="22"/>
                <w:lang w:eastAsia="en-US"/>
              </w:rPr>
            </w:pPr>
            <w:r w:rsidRPr="003546EF">
              <w:rPr>
                <w:rFonts w:ascii="Arial,Bold" w:eastAsia="Times" w:hAnsi="Arial,Bold" w:cs="Arial,Bold"/>
                <w:b/>
                <w:bCs/>
              </w:rPr>
              <w:t>Evidence in the Business Case</w:t>
            </w:r>
          </w:p>
        </w:tc>
      </w:tr>
      <w:tr w:rsidR="00EC41AB" w:rsidRPr="00EC41AB" w14:paraId="2A3D6E82" w14:textId="77777777" w:rsidTr="00F129F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3B7B" w14:textId="77777777" w:rsidR="003A0924" w:rsidRPr="003546EF" w:rsidRDefault="003A0924" w:rsidP="00A4320F">
            <w:pPr>
              <w:autoSpaceDE w:val="0"/>
              <w:autoSpaceDN w:val="0"/>
              <w:adjustRightInd w:val="0"/>
              <w:rPr>
                <w:rFonts w:eastAsia="Times"/>
                <w:sz w:val="22"/>
                <w:szCs w:val="22"/>
                <w:lang w:eastAsia="en-US"/>
              </w:rPr>
            </w:pPr>
            <w:r w:rsidRPr="003546EF">
              <w:rPr>
                <w:rFonts w:eastAsia="Times"/>
              </w:rPr>
              <w:t>A clear rationale for the interventions linked with the strategic objectives identified in the Strategic Economic Plan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FA99EDF" w14:textId="77777777" w:rsidR="003A0924" w:rsidRPr="003546EF" w:rsidRDefault="003A0924" w:rsidP="00F129FA">
            <w:pPr>
              <w:jc w:val="center"/>
              <w:rPr>
                <w:rFonts w:eastAsia="Times"/>
                <w:sz w:val="22"/>
                <w:szCs w:val="22"/>
                <w:lang w:eastAsia="en-US"/>
              </w:rPr>
            </w:pPr>
            <w:r w:rsidRPr="003546EF">
              <w:rPr>
                <w:rFonts w:eastAsia="Times"/>
              </w:rPr>
              <w:t>Green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ABE7" w14:textId="26FB7F8C" w:rsidR="003A0924" w:rsidRPr="00C26172" w:rsidRDefault="003A0924" w:rsidP="00A4320F">
            <w:pPr>
              <w:autoSpaceDE w:val="0"/>
              <w:autoSpaceDN w:val="0"/>
              <w:adjustRightInd w:val="0"/>
              <w:rPr>
                <w:rFonts w:eastAsia="Times"/>
              </w:rPr>
            </w:pPr>
            <w:r w:rsidRPr="00C26172">
              <w:rPr>
                <w:rFonts w:eastAsia="Times"/>
              </w:rPr>
              <w:t xml:space="preserve">The </w:t>
            </w:r>
            <w:r w:rsidR="008A178F" w:rsidRPr="00C26172">
              <w:rPr>
                <w:rFonts w:eastAsia="Times"/>
              </w:rPr>
              <w:t>B</w:t>
            </w:r>
            <w:r w:rsidRPr="00C26172">
              <w:rPr>
                <w:rFonts w:eastAsia="Times"/>
              </w:rPr>
              <w:t xml:space="preserve">usiness </w:t>
            </w:r>
            <w:r w:rsidR="008A178F" w:rsidRPr="00C26172">
              <w:rPr>
                <w:rFonts w:eastAsia="Times"/>
              </w:rPr>
              <w:t>C</w:t>
            </w:r>
            <w:r w:rsidRPr="00C26172">
              <w:rPr>
                <w:rFonts w:eastAsia="Times"/>
              </w:rPr>
              <w:t xml:space="preserve">ase identifies the current problems and why the scheme is needed now. The objectives presented align with the objectives identified in </w:t>
            </w:r>
            <w:r w:rsidR="001E1FF2" w:rsidRPr="00C26172">
              <w:rPr>
                <w:rFonts w:eastAsia="Times"/>
              </w:rPr>
              <w:t xml:space="preserve">the Economic </w:t>
            </w:r>
            <w:r w:rsidR="00327B07" w:rsidRPr="00C26172">
              <w:rPr>
                <w:rFonts w:eastAsia="Times"/>
              </w:rPr>
              <w:t xml:space="preserve">Strategy </w:t>
            </w:r>
            <w:r w:rsidR="001E1FF2" w:rsidRPr="00C26172">
              <w:rPr>
                <w:rFonts w:eastAsia="Times"/>
              </w:rPr>
              <w:t>Statement</w:t>
            </w:r>
            <w:r w:rsidRPr="00C26172">
              <w:rPr>
                <w:rFonts w:eastAsia="Times"/>
              </w:rPr>
              <w:t xml:space="preserve">. </w:t>
            </w:r>
          </w:p>
          <w:p w14:paraId="610F7D0E" w14:textId="77777777" w:rsidR="003A0924" w:rsidRPr="00EC41AB" w:rsidRDefault="003A0924" w:rsidP="00A4320F">
            <w:pPr>
              <w:autoSpaceDE w:val="0"/>
              <w:autoSpaceDN w:val="0"/>
              <w:adjustRightInd w:val="0"/>
              <w:rPr>
                <w:rFonts w:eastAsia="Times"/>
                <w:color w:val="92D050"/>
                <w:lang w:eastAsia="en-US"/>
              </w:rPr>
            </w:pPr>
          </w:p>
        </w:tc>
      </w:tr>
      <w:tr w:rsidR="00EC41AB" w:rsidRPr="00EC41AB" w14:paraId="52D2EC36" w14:textId="77777777" w:rsidTr="00C26172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44B3" w14:textId="77777777" w:rsidR="003A0924" w:rsidRPr="003546EF" w:rsidRDefault="003A0924" w:rsidP="00A4320F">
            <w:pPr>
              <w:autoSpaceDE w:val="0"/>
              <w:autoSpaceDN w:val="0"/>
              <w:adjustRightInd w:val="0"/>
              <w:rPr>
                <w:rFonts w:eastAsia="Times"/>
                <w:sz w:val="22"/>
                <w:szCs w:val="22"/>
                <w:lang w:eastAsia="en-US"/>
              </w:rPr>
            </w:pPr>
            <w:r w:rsidRPr="003546EF">
              <w:rPr>
                <w:rFonts w:eastAsia="Times"/>
              </w:rPr>
              <w:t xml:space="preserve">Clearly defined outputs and anticipated outcomes, with clear additionality, ensuring that factors such as displacement and deadweight have been </w:t>
            </w:r>
            <w:proofErr w:type="gramStart"/>
            <w:r w:rsidRPr="003546EF">
              <w:rPr>
                <w:rFonts w:eastAsia="Times"/>
              </w:rPr>
              <w:t>taken into account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7E947D7" w14:textId="3913B2F8" w:rsidR="003A0924" w:rsidRPr="003546EF" w:rsidRDefault="00C26172" w:rsidP="00F129FA">
            <w:pPr>
              <w:jc w:val="center"/>
              <w:rPr>
                <w:rFonts w:eastAsia="Times"/>
                <w:sz w:val="22"/>
                <w:szCs w:val="22"/>
                <w:lang w:eastAsia="en-US"/>
              </w:rPr>
            </w:pPr>
            <w:r>
              <w:rPr>
                <w:rFonts w:eastAsia="Times"/>
                <w:lang w:eastAsia="en-US"/>
              </w:rPr>
              <w:t>Green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59B2" w14:textId="512A4A51" w:rsidR="003A0924" w:rsidRPr="00EC41AB" w:rsidRDefault="003A0924" w:rsidP="00F36C6B">
            <w:pPr>
              <w:autoSpaceDE w:val="0"/>
              <w:autoSpaceDN w:val="0"/>
              <w:adjustRightInd w:val="0"/>
              <w:rPr>
                <w:rFonts w:ascii="Times" w:eastAsia="Times" w:hAnsi="Times" w:cs="Times New Roman"/>
                <w:color w:val="92D050"/>
                <w:sz w:val="22"/>
                <w:szCs w:val="22"/>
                <w:lang w:eastAsia="en-US"/>
              </w:rPr>
            </w:pPr>
            <w:r w:rsidRPr="00C26172">
              <w:rPr>
                <w:rFonts w:eastAsia="Times"/>
              </w:rPr>
              <w:t>The expected project outputs and outcomes are set out in the Business Case</w:t>
            </w:r>
            <w:r w:rsidR="00F36C6B" w:rsidRPr="00C26172">
              <w:rPr>
                <w:rFonts w:eastAsia="Times"/>
              </w:rPr>
              <w:t xml:space="preserve"> and are considered in the economic case.  </w:t>
            </w:r>
            <w:r w:rsidR="00C26172" w:rsidRPr="00C26172">
              <w:rPr>
                <w:rFonts w:eastAsia="Times"/>
              </w:rPr>
              <w:t>An additionality assessment has not been completed but this would not be expected for a Project of this size.</w:t>
            </w:r>
          </w:p>
        </w:tc>
      </w:tr>
      <w:tr w:rsidR="00EC41AB" w:rsidRPr="00EC41AB" w14:paraId="693DFBC7" w14:textId="77777777" w:rsidTr="00F129F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B8B3" w14:textId="77777777" w:rsidR="003A0924" w:rsidRPr="003546EF" w:rsidRDefault="003A0924" w:rsidP="00A4320F">
            <w:pPr>
              <w:autoSpaceDE w:val="0"/>
              <w:autoSpaceDN w:val="0"/>
              <w:adjustRightInd w:val="0"/>
              <w:rPr>
                <w:rFonts w:eastAsia="Times"/>
                <w:sz w:val="22"/>
                <w:szCs w:val="22"/>
                <w:lang w:eastAsia="en-US"/>
              </w:rPr>
            </w:pPr>
            <w:r w:rsidRPr="003546EF">
              <w:rPr>
                <w:rFonts w:eastAsia="Times"/>
              </w:rPr>
              <w:t>Considers deliverability and risks appropriately, along with appropriate mitigating action (the costs of which must be clearly understood)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3065FC6" w14:textId="77777777" w:rsidR="003A0924" w:rsidRPr="003546EF" w:rsidRDefault="003A0924" w:rsidP="00F129FA">
            <w:pPr>
              <w:jc w:val="center"/>
              <w:rPr>
                <w:rFonts w:eastAsia="Times"/>
                <w:sz w:val="22"/>
                <w:szCs w:val="22"/>
                <w:lang w:eastAsia="en-US"/>
              </w:rPr>
            </w:pPr>
            <w:r w:rsidRPr="003546EF">
              <w:rPr>
                <w:rFonts w:eastAsia="Times"/>
              </w:rPr>
              <w:t>Green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2A57" w14:textId="18B49BD4" w:rsidR="003A0924" w:rsidRPr="00C26172" w:rsidRDefault="003A0924" w:rsidP="00A4320F">
            <w:pPr>
              <w:autoSpaceDE w:val="0"/>
              <w:autoSpaceDN w:val="0"/>
              <w:adjustRightInd w:val="0"/>
              <w:rPr>
                <w:rFonts w:eastAsia="Times"/>
              </w:rPr>
            </w:pPr>
            <w:r w:rsidRPr="00C26172">
              <w:rPr>
                <w:rFonts w:eastAsia="Times"/>
              </w:rPr>
              <w:t xml:space="preserve">The </w:t>
            </w:r>
            <w:r w:rsidR="007F017D" w:rsidRPr="00C26172">
              <w:rPr>
                <w:rFonts w:eastAsia="Times"/>
              </w:rPr>
              <w:t>B</w:t>
            </w:r>
            <w:r w:rsidRPr="00C26172">
              <w:rPr>
                <w:rFonts w:eastAsia="Times"/>
              </w:rPr>
              <w:t xml:space="preserve">usiness </w:t>
            </w:r>
            <w:r w:rsidR="007F017D" w:rsidRPr="00C26172">
              <w:rPr>
                <w:rFonts w:eastAsia="Times"/>
              </w:rPr>
              <w:t>C</w:t>
            </w:r>
            <w:r w:rsidRPr="00C26172">
              <w:rPr>
                <w:rFonts w:eastAsia="Times"/>
              </w:rPr>
              <w:t>ase demonstrates experience of delivering similar schemes. A risk register has been developed which provides itemised mitigation</w:t>
            </w:r>
            <w:r w:rsidR="00F36C6B" w:rsidRPr="00C26172">
              <w:rPr>
                <w:rFonts w:eastAsia="Times"/>
              </w:rPr>
              <w:t>.</w:t>
            </w:r>
          </w:p>
          <w:p w14:paraId="238610C4" w14:textId="77777777" w:rsidR="003A0924" w:rsidRPr="00EC41AB" w:rsidRDefault="003A0924" w:rsidP="00A4320F">
            <w:pPr>
              <w:autoSpaceDE w:val="0"/>
              <w:autoSpaceDN w:val="0"/>
              <w:adjustRightInd w:val="0"/>
              <w:rPr>
                <w:rFonts w:eastAsia="Times"/>
                <w:color w:val="92D050"/>
                <w:lang w:eastAsia="en-US"/>
              </w:rPr>
            </w:pPr>
          </w:p>
        </w:tc>
      </w:tr>
      <w:tr w:rsidR="00EC41AB" w:rsidRPr="00EC41AB" w14:paraId="1B483572" w14:textId="77777777" w:rsidTr="00C26172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F390" w14:textId="77777777" w:rsidR="003A0924" w:rsidRPr="003546EF" w:rsidRDefault="003A0924" w:rsidP="00A4320F">
            <w:pPr>
              <w:autoSpaceDE w:val="0"/>
              <w:autoSpaceDN w:val="0"/>
              <w:adjustRightInd w:val="0"/>
              <w:rPr>
                <w:rFonts w:eastAsia="Times"/>
                <w:sz w:val="22"/>
                <w:szCs w:val="22"/>
                <w:lang w:eastAsia="en-US"/>
              </w:rPr>
            </w:pPr>
            <w:r w:rsidRPr="003546EF">
              <w:rPr>
                <w:rFonts w:eastAsia="Times"/>
              </w:rPr>
              <w:t>A Benefit Cost Ratio of at least 2:1 or comply with one of the two Value for Money exemptions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BBC8EDC" w14:textId="5158144A" w:rsidR="003A0924" w:rsidRPr="003546EF" w:rsidRDefault="00C26172" w:rsidP="00F129FA">
            <w:pPr>
              <w:jc w:val="center"/>
              <w:rPr>
                <w:rFonts w:eastAsia="Times"/>
                <w:sz w:val="22"/>
                <w:szCs w:val="22"/>
                <w:lang w:eastAsia="en-US"/>
              </w:rPr>
            </w:pPr>
            <w:r>
              <w:rPr>
                <w:rFonts w:eastAsia="Times"/>
                <w:lang w:eastAsia="en-US"/>
              </w:rPr>
              <w:t>Green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8CEE" w14:textId="1E7E7CD0" w:rsidR="003A0924" w:rsidRPr="00A55C1A" w:rsidRDefault="009B2FBD" w:rsidP="001E1FF2">
            <w:pPr>
              <w:autoSpaceDE w:val="0"/>
              <w:autoSpaceDN w:val="0"/>
              <w:adjustRightInd w:val="0"/>
              <w:rPr>
                <w:rFonts w:eastAsia="Times"/>
                <w:color w:val="92D050"/>
                <w:lang w:eastAsia="en-US"/>
              </w:rPr>
            </w:pPr>
            <w:r w:rsidRPr="004645AA">
              <w:rPr>
                <w:rFonts w:eastAsia="Times New Roman"/>
              </w:rPr>
              <w:t xml:space="preserve">Given the fact that outputs are reducing by one third while project costs are reducing by more than a </w:t>
            </w:r>
            <w:proofErr w:type="gramStart"/>
            <w:r w:rsidRPr="004645AA">
              <w:rPr>
                <w:rFonts w:eastAsia="Times New Roman"/>
              </w:rPr>
              <w:t>third</w:t>
            </w:r>
            <w:proofErr w:type="gramEnd"/>
            <w:r w:rsidRPr="004645AA">
              <w:rPr>
                <w:rFonts w:eastAsia="Times New Roman"/>
              </w:rPr>
              <w:t xml:space="preserve"> we are confident that the scheme, in its changed form, will continue to represent very high value for money.</w:t>
            </w:r>
          </w:p>
        </w:tc>
      </w:tr>
    </w:tbl>
    <w:p w14:paraId="3C37059F" w14:textId="77777777" w:rsidR="00160CB3" w:rsidRPr="00EC41AB" w:rsidRDefault="00160CB3" w:rsidP="00160CB3">
      <w:pPr>
        <w:pStyle w:val="ListParagraph"/>
        <w:ind w:left="0"/>
        <w:rPr>
          <w:b/>
          <w:color w:val="92D050"/>
          <w:lang w:eastAsia="en-US"/>
        </w:rPr>
      </w:pPr>
    </w:p>
    <w:p w14:paraId="25DF68E0" w14:textId="77777777" w:rsidR="00160CB3" w:rsidRPr="00CE0F39" w:rsidRDefault="00160CB3" w:rsidP="00160CB3">
      <w:pPr>
        <w:ind w:left="567" w:hanging="567"/>
        <w:contextualSpacing/>
        <w:rPr>
          <w:lang w:eastAsia="en-US"/>
        </w:rPr>
      </w:pPr>
    </w:p>
    <w:p w14:paraId="06C71120" w14:textId="638E9BD6" w:rsidR="00036C95" w:rsidRPr="00CE0F39" w:rsidRDefault="0061547F" w:rsidP="00F07EEC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11</w:t>
      </w:r>
      <w:r w:rsidR="00F07EEC">
        <w:rPr>
          <w:rFonts w:eastAsia="Times New Roman"/>
          <w:b/>
        </w:rPr>
        <w:tab/>
      </w:r>
      <w:r w:rsidR="00036C95" w:rsidRPr="00CE0F39">
        <w:rPr>
          <w:rFonts w:eastAsia="Times New Roman"/>
          <w:b/>
        </w:rPr>
        <w:t>Financial Implications (Accountable Body comments)</w:t>
      </w:r>
    </w:p>
    <w:p w14:paraId="1DE8B17F" w14:textId="77777777" w:rsidR="000E6281" w:rsidRPr="00EC41AB" w:rsidRDefault="000E6281" w:rsidP="000E6281">
      <w:pPr>
        <w:overflowPunct w:val="0"/>
        <w:autoSpaceDE w:val="0"/>
        <w:autoSpaceDN w:val="0"/>
        <w:adjustRightInd w:val="0"/>
        <w:ind w:left="709"/>
        <w:contextualSpacing/>
        <w:textAlignment w:val="baseline"/>
        <w:rPr>
          <w:rFonts w:eastAsia="Times New Roman"/>
          <w:b/>
          <w:color w:val="92D050"/>
        </w:rPr>
      </w:pPr>
    </w:p>
    <w:p w14:paraId="3EB7EBC1" w14:textId="5DEDA41F" w:rsidR="00F07EEC" w:rsidRDefault="0061547F" w:rsidP="004645AA">
      <w:pPr>
        <w:overflowPunct w:val="0"/>
        <w:autoSpaceDE w:val="0"/>
        <w:autoSpaceDN w:val="0"/>
        <w:adjustRightInd w:val="0"/>
        <w:ind w:left="720" w:hanging="720"/>
        <w:contextualSpacing/>
        <w:textAlignment w:val="baseline"/>
      </w:pPr>
      <w:r>
        <w:t>11.1</w:t>
      </w:r>
      <w:r w:rsidR="00F07EEC">
        <w:tab/>
        <w:t xml:space="preserve">The LGF funding of </w:t>
      </w:r>
      <w:r w:rsidR="00F07EEC" w:rsidRPr="009745DB">
        <w:rPr>
          <w:lang w:eastAsia="en-US"/>
        </w:rPr>
        <w:t xml:space="preserve">£100,000 </w:t>
      </w:r>
      <w:r w:rsidR="00F07EEC">
        <w:t>originally allocated to the Project has not been drawn down and transferred to ECC for delivery of the Project.</w:t>
      </w:r>
    </w:p>
    <w:p w14:paraId="30DC1A77" w14:textId="77777777" w:rsidR="00F07EEC" w:rsidRDefault="00F07EEC" w:rsidP="00F07EEC">
      <w:pPr>
        <w:overflowPunct w:val="0"/>
        <w:autoSpaceDE w:val="0"/>
        <w:autoSpaceDN w:val="0"/>
        <w:adjustRightInd w:val="0"/>
        <w:ind w:left="709"/>
        <w:contextualSpacing/>
        <w:textAlignment w:val="baseline"/>
      </w:pPr>
    </w:p>
    <w:p w14:paraId="06F0086C" w14:textId="77777777" w:rsidR="00F07EEC" w:rsidRPr="00A25699" w:rsidRDefault="00F07EEC" w:rsidP="00F07EEC">
      <w:pPr>
        <w:ind w:left="851" w:hanging="851"/>
        <w:contextualSpacing/>
        <w:rPr>
          <w:b/>
          <w:lang w:eastAsia="en-US"/>
        </w:rPr>
      </w:pPr>
      <w:r>
        <w:t xml:space="preserve">11.2 </w:t>
      </w:r>
      <w:r>
        <w:tab/>
        <w:t xml:space="preserve">Should the change in scope of the Project be approved and the reduction of LGF allocated be approved, </w:t>
      </w:r>
      <w:r>
        <w:rPr>
          <w:lang w:eastAsia="en-US"/>
        </w:rPr>
        <w:t>the remaining £50,000 will be returned to the LGF pot to be reallocated to the next project on the LGF3b pipeline.</w:t>
      </w:r>
    </w:p>
    <w:p w14:paraId="417FCBC2" w14:textId="77777777" w:rsidR="00F07EEC" w:rsidRDefault="00F07EEC" w:rsidP="00F07EEC">
      <w:pPr>
        <w:overflowPunct w:val="0"/>
        <w:autoSpaceDE w:val="0"/>
        <w:autoSpaceDN w:val="0"/>
        <w:adjustRightInd w:val="0"/>
        <w:ind w:left="709"/>
        <w:contextualSpacing/>
        <w:textAlignment w:val="baseline"/>
      </w:pPr>
    </w:p>
    <w:p w14:paraId="2BC4FA02" w14:textId="77777777" w:rsidR="00F07EEC" w:rsidRPr="00CE0F39" w:rsidRDefault="00F07EEC" w:rsidP="004645AA">
      <w:pPr>
        <w:overflowPunct w:val="0"/>
        <w:autoSpaceDE w:val="0"/>
        <w:autoSpaceDN w:val="0"/>
        <w:adjustRightInd w:val="0"/>
        <w:contextualSpacing/>
        <w:textAlignment w:val="baseline"/>
        <w:rPr>
          <w:lang w:eastAsia="en-US"/>
        </w:rPr>
      </w:pPr>
    </w:p>
    <w:p w14:paraId="5C0972FE" w14:textId="77777777" w:rsidR="00CE0F39" w:rsidRPr="00CE0F39" w:rsidRDefault="00CE0F39" w:rsidP="00CE0F39">
      <w:pPr>
        <w:ind w:left="709"/>
        <w:contextualSpacing/>
        <w:rPr>
          <w:lang w:eastAsia="en-US"/>
        </w:rPr>
      </w:pPr>
    </w:p>
    <w:p w14:paraId="0603EF7D" w14:textId="4D0F245D" w:rsidR="000555C8" w:rsidRPr="00CE0F39" w:rsidRDefault="0061547F" w:rsidP="004645AA">
      <w:pPr>
        <w:contextualSpacing/>
        <w:rPr>
          <w:lang w:eastAsia="en-US"/>
        </w:rPr>
      </w:pPr>
      <w:r>
        <w:rPr>
          <w:b/>
        </w:rPr>
        <w:lastRenderedPageBreak/>
        <w:t>12</w:t>
      </w:r>
      <w:r>
        <w:rPr>
          <w:b/>
        </w:rPr>
        <w:tab/>
      </w:r>
      <w:r w:rsidR="00036C95" w:rsidRPr="00CE0F39">
        <w:rPr>
          <w:b/>
        </w:rPr>
        <w:t>Legal Implications (Accountable Body comments)</w:t>
      </w:r>
    </w:p>
    <w:p w14:paraId="55F364BF" w14:textId="77777777" w:rsidR="00CE0F39" w:rsidRPr="00CE0F39" w:rsidRDefault="00CE0F39" w:rsidP="00CE0F39">
      <w:pPr>
        <w:ind w:left="709"/>
        <w:contextualSpacing/>
        <w:rPr>
          <w:color w:val="92D050"/>
          <w:lang w:eastAsia="en-US"/>
        </w:rPr>
      </w:pPr>
    </w:p>
    <w:p w14:paraId="60074EA9" w14:textId="6EECAB62" w:rsidR="000555C8" w:rsidRPr="00F550AE" w:rsidRDefault="0061547F" w:rsidP="004645AA">
      <w:pPr>
        <w:contextualSpacing/>
        <w:rPr>
          <w:lang w:eastAsia="en-US"/>
        </w:rPr>
      </w:pPr>
      <w:r>
        <w:rPr>
          <w:lang w:eastAsia="en-US"/>
        </w:rPr>
        <w:t>12.1</w:t>
      </w:r>
      <w:r w:rsidR="00A42FD5">
        <w:rPr>
          <w:lang w:eastAsia="en-US"/>
        </w:rPr>
        <w:tab/>
        <w:t xml:space="preserve">There are no legal implications arising out of this decision. The allocation will </w:t>
      </w:r>
      <w:r>
        <w:rPr>
          <w:lang w:eastAsia="en-US"/>
        </w:rPr>
        <w:tab/>
      </w:r>
      <w:r w:rsidR="00A42FD5">
        <w:rPr>
          <w:lang w:eastAsia="en-US"/>
        </w:rPr>
        <w:t xml:space="preserve">be released to the relevant Upper Tier Authority in accordance with the terms </w:t>
      </w:r>
      <w:r>
        <w:rPr>
          <w:lang w:eastAsia="en-US"/>
        </w:rPr>
        <w:tab/>
      </w:r>
      <w:r w:rsidR="00A42FD5">
        <w:rPr>
          <w:lang w:eastAsia="en-US"/>
        </w:rPr>
        <w:t xml:space="preserve">and conditions of the SLA already in place. It will be the responsibility of the </w:t>
      </w:r>
      <w:r>
        <w:rPr>
          <w:lang w:eastAsia="en-US"/>
        </w:rPr>
        <w:tab/>
      </w:r>
      <w:r w:rsidR="00A42FD5">
        <w:rPr>
          <w:lang w:eastAsia="en-US"/>
        </w:rPr>
        <w:t xml:space="preserve">Upper Tier Authority to ensure that there is a </w:t>
      </w:r>
      <w:proofErr w:type="gramStart"/>
      <w:r w:rsidR="00A42FD5">
        <w:rPr>
          <w:lang w:eastAsia="en-US"/>
        </w:rPr>
        <w:t>sufficient</w:t>
      </w:r>
      <w:proofErr w:type="gramEnd"/>
      <w:r w:rsidR="00A42FD5">
        <w:rPr>
          <w:lang w:eastAsia="en-US"/>
        </w:rPr>
        <w:t xml:space="preserve"> back to back </w:t>
      </w:r>
      <w:r>
        <w:rPr>
          <w:lang w:eastAsia="en-US"/>
        </w:rPr>
        <w:tab/>
      </w:r>
      <w:r w:rsidR="00A42FD5">
        <w:rPr>
          <w:lang w:eastAsia="en-US"/>
        </w:rPr>
        <w:t xml:space="preserve">agreement in place with the College ensuring that the conditions of the SLA </w:t>
      </w:r>
      <w:r>
        <w:rPr>
          <w:lang w:eastAsia="en-US"/>
        </w:rPr>
        <w:tab/>
      </w:r>
      <w:r w:rsidR="00A42FD5">
        <w:rPr>
          <w:lang w:eastAsia="en-US"/>
        </w:rPr>
        <w:t>are reflected and formulate the basis of any agreement put in place.</w:t>
      </w:r>
    </w:p>
    <w:p w14:paraId="4638B78A" w14:textId="77777777" w:rsidR="004E779A" w:rsidRPr="00EC41AB" w:rsidRDefault="004E779A" w:rsidP="00B817F9">
      <w:pPr>
        <w:contextualSpacing/>
        <w:rPr>
          <w:color w:val="92D050"/>
          <w:lang w:eastAsia="en-US"/>
        </w:rPr>
      </w:pPr>
    </w:p>
    <w:p w14:paraId="08E61363" w14:textId="4FD04201" w:rsidR="00FD4778" w:rsidRPr="00CE0F39" w:rsidRDefault="0061547F" w:rsidP="004645AA">
      <w:pPr>
        <w:contextualSpacing/>
        <w:rPr>
          <w:lang w:eastAsia="en-US"/>
        </w:rPr>
      </w:pPr>
      <w:r>
        <w:rPr>
          <w:b/>
        </w:rPr>
        <w:t>13</w:t>
      </w:r>
      <w:r>
        <w:rPr>
          <w:b/>
        </w:rPr>
        <w:tab/>
      </w:r>
      <w:r w:rsidR="00036C95" w:rsidRPr="00CE0F39">
        <w:rPr>
          <w:b/>
        </w:rPr>
        <w:t>Equality and Diversity implication</w:t>
      </w:r>
    </w:p>
    <w:p w14:paraId="7D825FCE" w14:textId="77777777" w:rsidR="00FD4778" w:rsidRPr="00CE0F39" w:rsidRDefault="00FD4778" w:rsidP="00FD4778">
      <w:pPr>
        <w:ind w:left="709"/>
        <w:contextualSpacing/>
        <w:rPr>
          <w:lang w:eastAsia="en-US"/>
        </w:rPr>
      </w:pPr>
    </w:p>
    <w:p w14:paraId="0DA24D70" w14:textId="27679FD9" w:rsidR="00036C95" w:rsidRDefault="0061547F" w:rsidP="004645AA">
      <w:pPr>
        <w:contextualSpacing/>
        <w:rPr>
          <w:lang w:eastAsia="en-US"/>
        </w:rPr>
      </w:pPr>
      <w:r>
        <w:t>13.1</w:t>
      </w:r>
      <w:r>
        <w:tab/>
      </w:r>
      <w:r w:rsidR="00036C95" w:rsidRPr="00CE0F39">
        <w:t xml:space="preserve">Section 149 of the Equality Act 2010 creates the public sector equality duty </w:t>
      </w:r>
      <w:r>
        <w:tab/>
      </w:r>
      <w:r w:rsidR="00036C95" w:rsidRPr="00CE0F39">
        <w:t xml:space="preserve">which requires that when a public sector body makes decisions it must have </w:t>
      </w:r>
      <w:r>
        <w:tab/>
      </w:r>
      <w:r w:rsidR="00036C95" w:rsidRPr="00CE0F39">
        <w:t xml:space="preserve">regard to the need to: </w:t>
      </w:r>
    </w:p>
    <w:p w14:paraId="793DD299" w14:textId="77777777" w:rsidR="00CE0F39" w:rsidRPr="00CE0F39" w:rsidRDefault="00CE0F39" w:rsidP="00CE0F39">
      <w:pPr>
        <w:ind w:left="709"/>
        <w:contextualSpacing/>
        <w:rPr>
          <w:lang w:eastAsia="en-US"/>
        </w:rPr>
      </w:pPr>
    </w:p>
    <w:p w14:paraId="26816EDF" w14:textId="77777777" w:rsidR="008A178F" w:rsidRPr="00CE0F39" w:rsidRDefault="008A178F" w:rsidP="008A178F">
      <w:pPr>
        <w:numPr>
          <w:ilvl w:val="0"/>
          <w:numId w:val="20"/>
        </w:numPr>
      </w:pPr>
      <w:r w:rsidRPr="00CE0F39">
        <w:t>Eliminate unlawful discrimination, harassment and victimisation and other behaviour prohibited by the Act;</w:t>
      </w:r>
    </w:p>
    <w:p w14:paraId="4E8728CB" w14:textId="77777777" w:rsidR="008A178F" w:rsidRPr="00CE0F39" w:rsidRDefault="008A178F" w:rsidP="008A178F">
      <w:pPr>
        <w:numPr>
          <w:ilvl w:val="0"/>
          <w:numId w:val="20"/>
        </w:numPr>
      </w:pPr>
      <w:r w:rsidRPr="00CE0F39">
        <w:t>Advance equality of opportunity between people who share a protected characteristic and those who do not;</w:t>
      </w:r>
    </w:p>
    <w:p w14:paraId="3234CE09" w14:textId="77777777" w:rsidR="008A178F" w:rsidRPr="00CE0F39" w:rsidRDefault="008A178F" w:rsidP="008A178F">
      <w:pPr>
        <w:numPr>
          <w:ilvl w:val="0"/>
          <w:numId w:val="20"/>
        </w:numPr>
      </w:pPr>
      <w:r w:rsidRPr="00CE0F39">
        <w:t xml:space="preserve">Foster good relations between people who share a protected characteristic and those who do not including tackling prejudice and promoting understanding. </w:t>
      </w:r>
    </w:p>
    <w:p w14:paraId="2ED10464" w14:textId="77777777" w:rsidR="008A178F" w:rsidRPr="00CE0F39" w:rsidRDefault="008A178F" w:rsidP="008A178F">
      <w:pPr>
        <w:ind w:left="709"/>
        <w:contextualSpacing/>
        <w:rPr>
          <w:lang w:eastAsia="en-US"/>
        </w:rPr>
      </w:pPr>
    </w:p>
    <w:p w14:paraId="23A230FE" w14:textId="509EB48A" w:rsidR="00261EF5" w:rsidRPr="00CE0F39" w:rsidRDefault="0061547F" w:rsidP="004645AA">
      <w:pPr>
        <w:contextualSpacing/>
        <w:rPr>
          <w:lang w:eastAsia="en-US"/>
        </w:rPr>
      </w:pPr>
      <w:r>
        <w:t>13.2</w:t>
      </w:r>
      <w:r>
        <w:tab/>
      </w:r>
      <w:r w:rsidR="00036C95" w:rsidRPr="00CE0F39">
        <w:t xml:space="preserve">The protected characteristics are age, disability, gender reassignment, </w:t>
      </w:r>
      <w:r>
        <w:tab/>
      </w:r>
      <w:r w:rsidR="00036C95" w:rsidRPr="00CE0F39">
        <w:t xml:space="preserve">pregnancy and maternity, race, religion or belief, </w:t>
      </w:r>
      <w:r w:rsidR="00FD4778" w:rsidRPr="00CE0F39">
        <w:t xml:space="preserve">gender and sexual </w:t>
      </w:r>
      <w:r>
        <w:tab/>
      </w:r>
      <w:r w:rsidR="00FD4778" w:rsidRPr="00CE0F39">
        <w:t>orientation.</w:t>
      </w:r>
    </w:p>
    <w:p w14:paraId="203E50C0" w14:textId="77777777" w:rsidR="008A178F" w:rsidRPr="00CE0F39" w:rsidRDefault="008A178F" w:rsidP="008A178F">
      <w:pPr>
        <w:ind w:left="709"/>
        <w:contextualSpacing/>
        <w:rPr>
          <w:lang w:eastAsia="en-US"/>
        </w:rPr>
      </w:pPr>
    </w:p>
    <w:p w14:paraId="11AC8C60" w14:textId="57E7C49F" w:rsidR="00036C95" w:rsidRPr="00CE0F39" w:rsidRDefault="0061547F" w:rsidP="004645AA">
      <w:pPr>
        <w:contextualSpacing/>
        <w:rPr>
          <w:rStyle w:val="normalchar1"/>
          <w:rFonts w:ascii="Arial" w:hAnsi="Arial" w:cs="Arial"/>
          <w:lang w:eastAsia="en-US"/>
        </w:rPr>
      </w:pPr>
      <w:r>
        <w:t>13.3</w:t>
      </w:r>
      <w:r w:rsidR="004C5760">
        <w:tab/>
      </w:r>
      <w:r w:rsidR="00036C95" w:rsidRPr="00CE0F39">
        <w:t>In the course of the development of the project business case, the de</w:t>
      </w:r>
      <w:r w:rsidR="00A96888" w:rsidRPr="00CE0F39">
        <w:t xml:space="preserve">livery of </w:t>
      </w:r>
      <w:r w:rsidR="004C5760">
        <w:tab/>
      </w:r>
      <w:r w:rsidR="00A96888" w:rsidRPr="00CE0F39">
        <w:t xml:space="preserve">the Project and the </w:t>
      </w:r>
      <w:r w:rsidR="00036C95" w:rsidRPr="00CE0F39">
        <w:t xml:space="preserve">ongoing commitment to equality and diversity, the </w:t>
      </w:r>
      <w:r w:rsidR="004C5760">
        <w:tab/>
      </w:r>
      <w:r w:rsidR="00036C95" w:rsidRPr="00CE0F39">
        <w:t xml:space="preserve">promoting local authority will ensure that any equality implications are </w:t>
      </w:r>
      <w:r w:rsidR="004C5760">
        <w:tab/>
      </w:r>
      <w:r w:rsidR="00036C95" w:rsidRPr="00CE0F39">
        <w:t>considered as part of their decision making process and w</w:t>
      </w:r>
      <w:r w:rsidR="00CF4916" w:rsidRPr="00CE0F39">
        <w:t>h</w:t>
      </w:r>
      <w:r w:rsidR="00036C95" w:rsidRPr="00CE0F39">
        <w:t xml:space="preserve">ere </w:t>
      </w:r>
      <w:r w:rsidR="00FD4778" w:rsidRPr="00CE0F39">
        <w:t xml:space="preserve">it is </w:t>
      </w:r>
      <w:r w:rsidR="00036C95" w:rsidRPr="00CE0F39">
        <w:t>possible</w:t>
      </w:r>
      <w:r w:rsidR="00FD4778" w:rsidRPr="00CE0F39">
        <w:t xml:space="preserve"> to</w:t>
      </w:r>
      <w:r w:rsidR="00036C95" w:rsidRPr="00CE0F39">
        <w:t xml:space="preserve"> </w:t>
      </w:r>
      <w:r w:rsidR="004C5760">
        <w:tab/>
      </w:r>
      <w:r w:rsidR="00036C95" w:rsidRPr="00CE0F39">
        <w:t xml:space="preserve">identify mitigating factors where an impact against any of the protected </w:t>
      </w:r>
      <w:r w:rsidR="004C5760">
        <w:tab/>
      </w:r>
      <w:r w:rsidR="00036C95" w:rsidRPr="00CE0F39">
        <w:t>characteristics has been identified.</w:t>
      </w:r>
    </w:p>
    <w:p w14:paraId="23920250" w14:textId="77777777" w:rsidR="00036C95" w:rsidRPr="00EC41AB" w:rsidRDefault="00036C95" w:rsidP="00036C95">
      <w:pPr>
        <w:pStyle w:val="Normal1"/>
        <w:ind w:left="709" w:hanging="709"/>
        <w:rPr>
          <w:rFonts w:ascii="Arial" w:hAnsi="Arial" w:cs="Arial"/>
          <w:color w:val="92D050"/>
        </w:rPr>
      </w:pPr>
    </w:p>
    <w:p w14:paraId="336F7CD2" w14:textId="77777777" w:rsidR="004E779A" w:rsidRPr="00EC41AB" w:rsidRDefault="004E779A" w:rsidP="00036C95">
      <w:pPr>
        <w:pStyle w:val="Normal1"/>
        <w:ind w:left="709" w:hanging="709"/>
        <w:rPr>
          <w:rFonts w:ascii="Arial" w:hAnsi="Arial" w:cs="Arial"/>
          <w:color w:val="92D050"/>
        </w:rPr>
      </w:pPr>
    </w:p>
    <w:p w14:paraId="57146240" w14:textId="1F39F8BD" w:rsidR="00261EF5" w:rsidRPr="004645AA" w:rsidRDefault="004C5760" w:rsidP="004645AA">
      <w:pPr>
        <w:rPr>
          <w:b/>
        </w:rPr>
      </w:pPr>
      <w:r>
        <w:rPr>
          <w:b/>
        </w:rPr>
        <w:t>14</w:t>
      </w:r>
      <w:r>
        <w:rPr>
          <w:b/>
        </w:rPr>
        <w:tab/>
      </w:r>
      <w:r w:rsidR="00036C95" w:rsidRPr="004645AA">
        <w:rPr>
          <w:b/>
        </w:rPr>
        <w:t>List of Appendices</w:t>
      </w:r>
    </w:p>
    <w:p w14:paraId="440A028C" w14:textId="77777777" w:rsidR="00261EF5" w:rsidRPr="00CE0F39" w:rsidRDefault="00261EF5" w:rsidP="00261EF5">
      <w:pPr>
        <w:pStyle w:val="ListParagraph"/>
        <w:ind w:left="709"/>
        <w:rPr>
          <w:rFonts w:ascii="Arial" w:hAnsi="Arial" w:cs="Arial"/>
          <w:b/>
          <w:szCs w:val="24"/>
        </w:rPr>
      </w:pPr>
    </w:p>
    <w:p w14:paraId="4F1091C5" w14:textId="0C4861CA" w:rsidR="00036C95" w:rsidRDefault="004C5760" w:rsidP="004C5760">
      <w:r>
        <w:t>14.1</w:t>
      </w:r>
      <w:r>
        <w:tab/>
      </w:r>
      <w:r w:rsidR="00036C95" w:rsidRPr="004C5760">
        <w:t>Appendix 1 - Report of the Independent Technical Evaluator (</w:t>
      </w:r>
      <w:r w:rsidR="000E6281" w:rsidRPr="004C5760">
        <w:t xml:space="preserve">as </w:t>
      </w:r>
      <w:r w:rsidR="00036C95" w:rsidRPr="004C5760">
        <w:t xml:space="preserve">attached to </w:t>
      </w:r>
      <w:r>
        <w:tab/>
      </w:r>
      <w:r w:rsidR="00036C95" w:rsidRPr="004C5760">
        <w:t>Agenda Item</w:t>
      </w:r>
      <w:r w:rsidR="00BC7FAA" w:rsidRPr="004C5760">
        <w:t xml:space="preserve"> 6</w:t>
      </w:r>
      <w:r w:rsidR="00036C95" w:rsidRPr="004C5760">
        <w:t>).</w:t>
      </w:r>
    </w:p>
    <w:p w14:paraId="4FDC4285" w14:textId="4FF0D4BD" w:rsidR="004C5760" w:rsidRDefault="004C5760" w:rsidP="004C5760"/>
    <w:p w14:paraId="651E2A21" w14:textId="768851FE" w:rsidR="004C5760" w:rsidRDefault="004C5760" w:rsidP="004C5760">
      <w:r>
        <w:t>15</w:t>
      </w:r>
      <w:r>
        <w:tab/>
      </w:r>
      <w:r>
        <w:rPr>
          <w:b/>
          <w:bCs/>
        </w:rPr>
        <w:t xml:space="preserve">List of Background </w:t>
      </w:r>
      <w:r w:rsidRPr="004C5760">
        <w:rPr>
          <w:b/>
          <w:bCs/>
        </w:rPr>
        <w:t>Papers</w:t>
      </w:r>
    </w:p>
    <w:p w14:paraId="66BE6965" w14:textId="31DE25BA" w:rsidR="004C5760" w:rsidRDefault="004C5760" w:rsidP="004C5760"/>
    <w:p w14:paraId="421BFD43" w14:textId="77777777" w:rsidR="00527700" w:rsidRDefault="004C5760" w:rsidP="00527700">
      <w:r>
        <w:t>15.1</w:t>
      </w:r>
      <w:r>
        <w:tab/>
        <w:t>Business Case for the Groundworks and Scaffolding Training Centre, Colchester Institute</w:t>
      </w:r>
    </w:p>
    <w:p w14:paraId="2AB4C9C4" w14:textId="77777777" w:rsidR="00527700" w:rsidRDefault="00527700" w:rsidP="00527700"/>
    <w:p w14:paraId="325A28D6" w14:textId="0D46F947" w:rsidR="004C5760" w:rsidRDefault="004C5760" w:rsidP="00527700">
      <w:r>
        <w:t>Change Request for the Colchester Groundworks Training Academy</w:t>
      </w:r>
    </w:p>
    <w:p w14:paraId="6F03842C" w14:textId="07243098" w:rsidR="00527700" w:rsidRPr="004645AA" w:rsidRDefault="00527700" w:rsidP="00527700"/>
    <w:p w14:paraId="49B51566" w14:textId="77777777" w:rsidR="00036C95" w:rsidRPr="00EC41AB" w:rsidRDefault="00036C95" w:rsidP="00036C95">
      <w:pPr>
        <w:ind w:left="709" w:hanging="709"/>
        <w:rPr>
          <w:i/>
          <w:color w:val="92D050"/>
        </w:rPr>
      </w:pPr>
    </w:p>
    <w:p w14:paraId="7BDF40E0" w14:textId="77777777" w:rsidR="004C5760" w:rsidRPr="00EC41AB" w:rsidRDefault="004C5760" w:rsidP="00036C95">
      <w:pPr>
        <w:ind w:left="709" w:hanging="709"/>
        <w:rPr>
          <w:i/>
          <w:color w:val="92D050"/>
        </w:rPr>
      </w:pPr>
    </w:p>
    <w:p w14:paraId="55B42E0F" w14:textId="77777777" w:rsidR="00036C95" w:rsidRPr="00CE0F39" w:rsidRDefault="00036C95" w:rsidP="00051196">
      <w:pPr>
        <w:pStyle w:val="ListBullet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</w:p>
    <w:p w14:paraId="7C57D0EF" w14:textId="77777777" w:rsidR="00036C95" w:rsidRPr="00CE0F39" w:rsidRDefault="00036C95" w:rsidP="00036C95">
      <w:pPr>
        <w:rPr>
          <w:b/>
        </w:rPr>
      </w:pPr>
      <w:r w:rsidRPr="00CE0F39">
        <w:rPr>
          <w:b/>
        </w:rPr>
        <w:lastRenderedPageBreak/>
        <w:t>(Any request for any background papers listed here should be made to the person named at the front of the report who will be able to help with any enquiries)</w:t>
      </w:r>
    </w:p>
    <w:p w14:paraId="4FF758B5" w14:textId="77777777" w:rsidR="00036C95" w:rsidRPr="00CE0F39" w:rsidRDefault="00036C95" w:rsidP="00036C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8"/>
        <w:gridCol w:w="1960"/>
      </w:tblGrid>
      <w:tr w:rsidR="00CE0F39" w:rsidRPr="00CE0F39" w14:paraId="087DD23C" w14:textId="77777777" w:rsidTr="004E5CC8">
        <w:tc>
          <w:tcPr>
            <w:tcW w:w="7196" w:type="dxa"/>
            <w:shd w:val="clear" w:color="auto" w:fill="auto"/>
          </w:tcPr>
          <w:p w14:paraId="5F130992" w14:textId="77777777" w:rsidR="00036C95" w:rsidRPr="00CE0F39" w:rsidRDefault="00036C95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</w:rPr>
            </w:pPr>
            <w:r w:rsidRPr="00CE0F39">
              <w:rPr>
                <w:rFonts w:eastAsia="Times New Roman"/>
                <w:b/>
              </w:rPr>
              <w:t>Role</w:t>
            </w:r>
          </w:p>
        </w:tc>
        <w:tc>
          <w:tcPr>
            <w:tcW w:w="1984" w:type="dxa"/>
            <w:shd w:val="clear" w:color="auto" w:fill="auto"/>
          </w:tcPr>
          <w:p w14:paraId="7862FC81" w14:textId="77777777" w:rsidR="00036C95" w:rsidRPr="00CE0F39" w:rsidRDefault="00036C95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</w:rPr>
            </w:pPr>
            <w:r w:rsidRPr="00CE0F39">
              <w:rPr>
                <w:rFonts w:eastAsia="Times New Roman"/>
                <w:b/>
              </w:rPr>
              <w:t>Date</w:t>
            </w:r>
          </w:p>
        </w:tc>
      </w:tr>
      <w:tr w:rsidR="00CE0F39" w:rsidRPr="00CE0F39" w14:paraId="6DE5DFFC" w14:textId="77777777" w:rsidTr="004E5CC8">
        <w:tc>
          <w:tcPr>
            <w:tcW w:w="7196" w:type="dxa"/>
            <w:shd w:val="clear" w:color="auto" w:fill="auto"/>
          </w:tcPr>
          <w:p w14:paraId="5DF6F487" w14:textId="77777777" w:rsidR="00036C95" w:rsidRPr="00CE0F39" w:rsidRDefault="00036C95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</w:rPr>
            </w:pPr>
            <w:r w:rsidRPr="00CE0F39">
              <w:rPr>
                <w:rFonts w:eastAsia="Times New Roman"/>
                <w:b/>
              </w:rPr>
              <w:t>Accountable Body sign off</w:t>
            </w:r>
          </w:p>
          <w:p w14:paraId="660FC9BD" w14:textId="77777777" w:rsidR="00036C95" w:rsidRPr="00CE0F39" w:rsidRDefault="00036C95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  <w:p w14:paraId="7D44E5A2" w14:textId="301E4087" w:rsidR="008C0C26" w:rsidRDefault="00D96977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Stephanie Mitchener</w:t>
            </w:r>
          </w:p>
          <w:p w14:paraId="139E53B0" w14:textId="3BFD35D8" w:rsidR="009256D8" w:rsidRDefault="009256D8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  <w:p w14:paraId="7C076E11" w14:textId="139AD95F" w:rsidR="009256D8" w:rsidRPr="00CE0F39" w:rsidRDefault="009256D8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On behalf of Nicole Wood (S151 Officer Essex County Council</w:t>
            </w:r>
          </w:p>
          <w:p w14:paraId="572A773B" w14:textId="51F72241" w:rsidR="00036C95" w:rsidRPr="00CE0F39" w:rsidRDefault="00036C95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32CE42F" w14:textId="77777777" w:rsidR="00036C95" w:rsidRPr="00CE0F39" w:rsidRDefault="00036C95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  <w:p w14:paraId="3C3A9912" w14:textId="77777777" w:rsidR="00036C95" w:rsidRPr="00CE0F39" w:rsidRDefault="00036C95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  <w:p w14:paraId="7024B311" w14:textId="2D0B15C0" w:rsidR="00036C95" w:rsidRPr="00CE0F39" w:rsidRDefault="00036C95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</w:p>
          <w:p w14:paraId="4AF681FF" w14:textId="6839A76B" w:rsidR="00036C95" w:rsidRPr="00CE0F39" w:rsidRDefault="009256D8" w:rsidP="00036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6/2/20</w:t>
            </w:r>
          </w:p>
        </w:tc>
      </w:tr>
    </w:tbl>
    <w:p w14:paraId="26CECA46" w14:textId="77777777" w:rsidR="00036C95" w:rsidRPr="009E2FC7" w:rsidRDefault="00036C95" w:rsidP="00036C95">
      <w:pPr>
        <w:rPr>
          <w:b/>
          <w:color w:val="92D050"/>
        </w:rPr>
      </w:pPr>
    </w:p>
    <w:sectPr w:rsidR="00036C95" w:rsidRPr="009E2FC7" w:rsidSect="003C7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B578A" w14:textId="77777777" w:rsidR="00DA1318" w:rsidRDefault="00DA1318" w:rsidP="0030237A">
      <w:r>
        <w:separator/>
      </w:r>
    </w:p>
  </w:endnote>
  <w:endnote w:type="continuationSeparator" w:id="0">
    <w:p w14:paraId="422C2B43" w14:textId="77777777" w:rsidR="00DA1318" w:rsidRDefault="00DA1318" w:rsidP="0030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FC78" w14:textId="77777777" w:rsidR="00CD7499" w:rsidRDefault="00CD7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FC7B" w14:textId="77777777" w:rsidR="00DA1318" w:rsidRDefault="00DA13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5466">
      <w:rPr>
        <w:noProof/>
      </w:rPr>
      <w:t>1</w:t>
    </w:r>
    <w:r>
      <w:rPr>
        <w:noProof/>
      </w:rPr>
      <w:fldChar w:fldCharType="end"/>
    </w:r>
  </w:p>
  <w:p w14:paraId="4A94F20B" w14:textId="77777777" w:rsidR="00DA1318" w:rsidRDefault="00DA1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0EBAB" w14:textId="77777777" w:rsidR="00CD7499" w:rsidRDefault="00CD7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C28F0" w14:textId="77777777" w:rsidR="00DA1318" w:rsidRDefault="00DA1318" w:rsidP="0030237A">
      <w:r>
        <w:separator/>
      </w:r>
    </w:p>
  </w:footnote>
  <w:footnote w:type="continuationSeparator" w:id="0">
    <w:p w14:paraId="1FB581E7" w14:textId="77777777" w:rsidR="00DA1318" w:rsidRDefault="00DA1318" w:rsidP="0030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79F3" w14:textId="77777777" w:rsidR="00CD7499" w:rsidRDefault="00CD7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A02D3" w14:textId="715B4365" w:rsidR="00DA1318" w:rsidRPr="009D3109" w:rsidRDefault="00EC41AB">
    <w:pPr>
      <w:pStyle w:val="Header"/>
      <w:rPr>
        <w:i/>
      </w:rPr>
    </w:pPr>
    <w:r>
      <w:rPr>
        <w:rFonts w:eastAsia="Times"/>
      </w:rPr>
      <w:t>Groundworks and Scaffolding Training Centre, Colchester Institute</w:t>
    </w:r>
    <w:r w:rsidR="00DA1318" w:rsidRPr="00305938">
      <w:rPr>
        <w:rFonts w:eastAsia="Times"/>
      </w:rPr>
      <w:t xml:space="preserve"> LGF funding decision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F8DA6" w14:textId="77777777" w:rsidR="00CD7499" w:rsidRDefault="00CD7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093"/>
    <w:multiLevelType w:val="hybridMultilevel"/>
    <w:tmpl w:val="F496D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0548"/>
    <w:multiLevelType w:val="hybridMultilevel"/>
    <w:tmpl w:val="A5869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2306"/>
    <w:multiLevelType w:val="multilevel"/>
    <w:tmpl w:val="E59876E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1F497D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color w:val="000000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EEECE1"/>
      </w:rPr>
    </w:lvl>
    <w:lvl w:ilvl="3">
      <w:start w:val="1"/>
      <w:numFmt w:val="bullet"/>
      <w:lvlText w:val="‟"/>
      <w:lvlJc w:val="left"/>
      <w:pPr>
        <w:ind w:left="170" w:hanging="170"/>
      </w:pPr>
      <w:rPr>
        <w:rFonts w:ascii="Calibri" w:hAnsi="Calibri" w:hint="default"/>
        <w:color w:val="1F497D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F2A6E9D"/>
    <w:multiLevelType w:val="hybridMultilevel"/>
    <w:tmpl w:val="A3B0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3D4B"/>
    <w:multiLevelType w:val="hybridMultilevel"/>
    <w:tmpl w:val="AC000C64"/>
    <w:lvl w:ilvl="0" w:tplc="9CE22E54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7B774E"/>
    <w:multiLevelType w:val="multilevel"/>
    <w:tmpl w:val="8C9CC82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1C24536"/>
    <w:multiLevelType w:val="multilevel"/>
    <w:tmpl w:val="76C295AA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F41DF4"/>
    <w:multiLevelType w:val="multilevel"/>
    <w:tmpl w:val="1CE28FE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E0A7682"/>
    <w:multiLevelType w:val="multilevel"/>
    <w:tmpl w:val="58762C3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EF36858"/>
    <w:multiLevelType w:val="hybridMultilevel"/>
    <w:tmpl w:val="991076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3D762C"/>
    <w:multiLevelType w:val="multilevel"/>
    <w:tmpl w:val="772C50D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EA30C7"/>
    <w:multiLevelType w:val="hybridMultilevel"/>
    <w:tmpl w:val="871E27A4"/>
    <w:lvl w:ilvl="0" w:tplc="36941720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C53B2B"/>
    <w:multiLevelType w:val="hybridMultilevel"/>
    <w:tmpl w:val="98767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015E2"/>
    <w:multiLevelType w:val="multilevel"/>
    <w:tmpl w:val="5B041B5E"/>
    <w:styleLink w:val="Cabinetrepor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37E1637A"/>
    <w:multiLevelType w:val="multilevel"/>
    <w:tmpl w:val="946C678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063675"/>
    <w:multiLevelType w:val="hybridMultilevel"/>
    <w:tmpl w:val="C420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33684"/>
    <w:multiLevelType w:val="multilevel"/>
    <w:tmpl w:val="EB2A29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787908"/>
    <w:multiLevelType w:val="multilevel"/>
    <w:tmpl w:val="14043992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14C549D"/>
    <w:multiLevelType w:val="multilevel"/>
    <w:tmpl w:val="1404399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3311D6"/>
    <w:multiLevelType w:val="multilevel"/>
    <w:tmpl w:val="1404399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DF449F1"/>
    <w:multiLevelType w:val="hybridMultilevel"/>
    <w:tmpl w:val="F21260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28386A"/>
    <w:multiLevelType w:val="hybridMultilevel"/>
    <w:tmpl w:val="70E807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790186"/>
    <w:multiLevelType w:val="hybridMultilevel"/>
    <w:tmpl w:val="2980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0F7A"/>
    <w:multiLevelType w:val="multilevel"/>
    <w:tmpl w:val="A3A4749C"/>
    <w:styleLink w:val="SDGBullets"/>
    <w:lvl w:ilvl="0">
      <w:start w:val="1"/>
      <w:numFmt w:val="bullet"/>
      <w:pStyle w:val="ListBullet"/>
      <w:lvlText w:val=""/>
      <w:lvlJc w:val="left"/>
      <w:pPr>
        <w:ind w:left="397" w:hanging="397"/>
      </w:pPr>
      <w:rPr>
        <w:rFonts w:ascii="Symbol" w:hAnsi="Symbol" w:hint="default"/>
        <w:color w:val="1F497D"/>
      </w:rPr>
    </w:lvl>
    <w:lvl w:ilvl="1">
      <w:start w:val="1"/>
      <w:numFmt w:val="bullet"/>
      <w:pStyle w:val="ListBullet2"/>
      <w:lvlText w:val=""/>
      <w:lvlJc w:val="left"/>
      <w:pPr>
        <w:ind w:left="794" w:hanging="397"/>
      </w:pPr>
      <w:rPr>
        <w:rFonts w:ascii="Symbol" w:hAnsi="Symbol" w:hint="default"/>
        <w:color w:val="EEECE1"/>
      </w:rPr>
    </w:lvl>
    <w:lvl w:ilvl="2">
      <w:start w:val="1"/>
      <w:numFmt w:val="bullet"/>
      <w:pStyle w:val="ListBullet3"/>
      <w:lvlText w:val="-"/>
      <w:lvlJc w:val="left"/>
      <w:pPr>
        <w:ind w:left="1191" w:hanging="397"/>
      </w:pPr>
      <w:rPr>
        <w:rFonts w:ascii="Calibri" w:hAnsi="Calibri" w:hint="default"/>
        <w:color w:val="EEECE1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F497D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24" w15:restartNumberingAfterBreak="0">
    <w:nsid w:val="584349BC"/>
    <w:multiLevelType w:val="hybridMultilevel"/>
    <w:tmpl w:val="D938B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1D2F"/>
    <w:multiLevelType w:val="multilevel"/>
    <w:tmpl w:val="8ECA47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AE971BE"/>
    <w:multiLevelType w:val="multilevel"/>
    <w:tmpl w:val="C030A7C4"/>
    <w:name w:val="SDG Headings"/>
    <w:lvl w:ilvl="0">
      <w:start w:val="1"/>
      <w:numFmt w:val="decimal"/>
      <w:lvlRestart w:val="0"/>
      <w:pStyle w:val="Heading1"/>
      <w:lvlText w:val="%1"/>
      <w:lvlJc w:val="left"/>
      <w:pPr>
        <w:ind w:left="0" w:hanging="850"/>
      </w:pPr>
    </w:lvl>
    <w:lvl w:ilvl="1">
      <w:start w:val="1"/>
      <w:numFmt w:val="decimal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lvlRestart w:val="1"/>
      <w:pStyle w:val="NormalNumbered"/>
      <w:lvlText w:val="%1.%4"/>
      <w:lvlJc w:val="left"/>
      <w:pPr>
        <w:ind w:left="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C51C15"/>
    <w:multiLevelType w:val="hybridMultilevel"/>
    <w:tmpl w:val="F52A1094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F2C5993"/>
    <w:multiLevelType w:val="hybridMultilevel"/>
    <w:tmpl w:val="07384324"/>
    <w:lvl w:ilvl="0" w:tplc="5DE230F2">
      <w:start w:val="1"/>
      <w:numFmt w:val="upperLetter"/>
      <w:lvlText w:val="%1)"/>
      <w:lvlJc w:val="left"/>
      <w:pPr>
        <w:ind w:left="1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9" w15:restartNumberingAfterBreak="0">
    <w:nsid w:val="76126D92"/>
    <w:multiLevelType w:val="multilevel"/>
    <w:tmpl w:val="946C678C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5D0E2A"/>
    <w:multiLevelType w:val="multilevel"/>
    <w:tmpl w:val="8092D49C"/>
    <w:lvl w:ilvl="0">
      <w:start w:val="2"/>
      <w:numFmt w:val="decimal"/>
      <w:lvlText w:val="%1.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23"/>
  </w:num>
  <w:num w:numId="5">
    <w:abstractNumId w:val="10"/>
  </w:num>
  <w:num w:numId="6">
    <w:abstractNumId w:val="5"/>
  </w:num>
  <w:num w:numId="7">
    <w:abstractNumId w:val="8"/>
  </w:num>
  <w:num w:numId="8">
    <w:abstractNumId w:val="30"/>
  </w:num>
  <w:num w:numId="9">
    <w:abstractNumId w:val="18"/>
  </w:num>
  <w:num w:numId="10">
    <w:abstractNumId w:val="19"/>
  </w:num>
  <w:num w:numId="11">
    <w:abstractNumId w:val="17"/>
  </w:num>
  <w:num w:numId="12">
    <w:abstractNumId w:val="24"/>
  </w:num>
  <w:num w:numId="13">
    <w:abstractNumId w:val="4"/>
  </w:num>
  <w:num w:numId="14">
    <w:abstractNumId w:val="13"/>
  </w:num>
  <w:num w:numId="15">
    <w:abstractNumId w:val="6"/>
  </w:num>
  <w:num w:numId="16">
    <w:abstractNumId w:val="0"/>
  </w:num>
  <w:num w:numId="17">
    <w:abstractNumId w:val="29"/>
  </w:num>
  <w:num w:numId="18">
    <w:abstractNumId w:val="14"/>
  </w:num>
  <w:num w:numId="19">
    <w:abstractNumId w:val="2"/>
  </w:num>
  <w:num w:numId="20">
    <w:abstractNumId w:val="11"/>
  </w:num>
  <w:num w:numId="21">
    <w:abstractNumId w:val="22"/>
  </w:num>
  <w:num w:numId="22">
    <w:abstractNumId w:val="3"/>
  </w:num>
  <w:num w:numId="23">
    <w:abstractNumId w:val="26"/>
  </w:num>
  <w:num w:numId="24">
    <w:abstractNumId w:val="15"/>
  </w:num>
  <w:num w:numId="25">
    <w:abstractNumId w:val="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21"/>
  </w:num>
  <w:num w:numId="30">
    <w:abstractNumId w:val="12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F3"/>
    <w:rsid w:val="00002073"/>
    <w:rsid w:val="0000273E"/>
    <w:rsid w:val="00013455"/>
    <w:rsid w:val="00016B75"/>
    <w:rsid w:val="000216AE"/>
    <w:rsid w:val="00023053"/>
    <w:rsid w:val="00036C95"/>
    <w:rsid w:val="00051196"/>
    <w:rsid w:val="000555C8"/>
    <w:rsid w:val="00066960"/>
    <w:rsid w:val="00071AA1"/>
    <w:rsid w:val="0007354F"/>
    <w:rsid w:val="00075C9A"/>
    <w:rsid w:val="00076CE9"/>
    <w:rsid w:val="000862F1"/>
    <w:rsid w:val="00090515"/>
    <w:rsid w:val="000905C7"/>
    <w:rsid w:val="00091B5A"/>
    <w:rsid w:val="00091D08"/>
    <w:rsid w:val="0009256E"/>
    <w:rsid w:val="000932BE"/>
    <w:rsid w:val="000A3A83"/>
    <w:rsid w:val="000A6A0C"/>
    <w:rsid w:val="000B2F04"/>
    <w:rsid w:val="000B3B29"/>
    <w:rsid w:val="000C29F0"/>
    <w:rsid w:val="000C74D9"/>
    <w:rsid w:val="000D5467"/>
    <w:rsid w:val="000E4A5C"/>
    <w:rsid w:val="000E5AF3"/>
    <w:rsid w:val="000E6281"/>
    <w:rsid w:val="000F2101"/>
    <w:rsid w:val="00100099"/>
    <w:rsid w:val="001036B4"/>
    <w:rsid w:val="00106E1E"/>
    <w:rsid w:val="00111756"/>
    <w:rsid w:val="001136C2"/>
    <w:rsid w:val="00127F4F"/>
    <w:rsid w:val="00140BC1"/>
    <w:rsid w:val="00143EF2"/>
    <w:rsid w:val="001478B7"/>
    <w:rsid w:val="00151B93"/>
    <w:rsid w:val="00160CB3"/>
    <w:rsid w:val="00163B37"/>
    <w:rsid w:val="00170FFB"/>
    <w:rsid w:val="0019127F"/>
    <w:rsid w:val="0019222D"/>
    <w:rsid w:val="001A0B16"/>
    <w:rsid w:val="001A42D6"/>
    <w:rsid w:val="001B0C69"/>
    <w:rsid w:val="001B6D8B"/>
    <w:rsid w:val="001D152F"/>
    <w:rsid w:val="001D176B"/>
    <w:rsid w:val="001D7748"/>
    <w:rsid w:val="001E0B1B"/>
    <w:rsid w:val="001E1FF2"/>
    <w:rsid w:val="001F1185"/>
    <w:rsid w:val="001F52A6"/>
    <w:rsid w:val="002003D3"/>
    <w:rsid w:val="002125BC"/>
    <w:rsid w:val="00217A3B"/>
    <w:rsid w:val="00230809"/>
    <w:rsid w:val="00235745"/>
    <w:rsid w:val="002422BE"/>
    <w:rsid w:val="00247BE8"/>
    <w:rsid w:val="00247FDF"/>
    <w:rsid w:val="0025435B"/>
    <w:rsid w:val="002567A1"/>
    <w:rsid w:val="00261EF5"/>
    <w:rsid w:val="00263097"/>
    <w:rsid w:val="002646B3"/>
    <w:rsid w:val="002757CB"/>
    <w:rsid w:val="00284A8D"/>
    <w:rsid w:val="00284AC6"/>
    <w:rsid w:val="00286164"/>
    <w:rsid w:val="0028707C"/>
    <w:rsid w:val="00287329"/>
    <w:rsid w:val="002929C1"/>
    <w:rsid w:val="002A0324"/>
    <w:rsid w:val="002A0556"/>
    <w:rsid w:val="002A3BF2"/>
    <w:rsid w:val="002A5E64"/>
    <w:rsid w:val="002B2065"/>
    <w:rsid w:val="002B2F52"/>
    <w:rsid w:val="002B6BE0"/>
    <w:rsid w:val="002C2CE7"/>
    <w:rsid w:val="002D268F"/>
    <w:rsid w:val="002D6362"/>
    <w:rsid w:val="002E02D5"/>
    <w:rsid w:val="002E29B4"/>
    <w:rsid w:val="002E2D30"/>
    <w:rsid w:val="002E7F88"/>
    <w:rsid w:val="002F43B8"/>
    <w:rsid w:val="002F58E1"/>
    <w:rsid w:val="00300E9E"/>
    <w:rsid w:val="0030237A"/>
    <w:rsid w:val="00303E43"/>
    <w:rsid w:val="00305938"/>
    <w:rsid w:val="00325466"/>
    <w:rsid w:val="00326FDF"/>
    <w:rsid w:val="00327B07"/>
    <w:rsid w:val="00335062"/>
    <w:rsid w:val="00346E1A"/>
    <w:rsid w:val="00352068"/>
    <w:rsid w:val="003546EF"/>
    <w:rsid w:val="003555F1"/>
    <w:rsid w:val="0036264A"/>
    <w:rsid w:val="00362763"/>
    <w:rsid w:val="00365C56"/>
    <w:rsid w:val="003716DF"/>
    <w:rsid w:val="0039359B"/>
    <w:rsid w:val="00395220"/>
    <w:rsid w:val="00397B51"/>
    <w:rsid w:val="003A0924"/>
    <w:rsid w:val="003A1A12"/>
    <w:rsid w:val="003B26C4"/>
    <w:rsid w:val="003B5C21"/>
    <w:rsid w:val="003C1A0F"/>
    <w:rsid w:val="003C3125"/>
    <w:rsid w:val="003C705C"/>
    <w:rsid w:val="003D67B3"/>
    <w:rsid w:val="003E7606"/>
    <w:rsid w:val="00411C52"/>
    <w:rsid w:val="00411D97"/>
    <w:rsid w:val="004126FD"/>
    <w:rsid w:val="0043038A"/>
    <w:rsid w:val="004322B6"/>
    <w:rsid w:val="0043261C"/>
    <w:rsid w:val="00436FC5"/>
    <w:rsid w:val="00437592"/>
    <w:rsid w:val="004446CC"/>
    <w:rsid w:val="004477D3"/>
    <w:rsid w:val="004645AA"/>
    <w:rsid w:val="00471FD1"/>
    <w:rsid w:val="00482248"/>
    <w:rsid w:val="00485E9C"/>
    <w:rsid w:val="00486A74"/>
    <w:rsid w:val="00490412"/>
    <w:rsid w:val="0049243B"/>
    <w:rsid w:val="004A5043"/>
    <w:rsid w:val="004A7F61"/>
    <w:rsid w:val="004C5760"/>
    <w:rsid w:val="004C6FB5"/>
    <w:rsid w:val="004C7BF3"/>
    <w:rsid w:val="004D09EC"/>
    <w:rsid w:val="004D2596"/>
    <w:rsid w:val="004E5CC8"/>
    <w:rsid w:val="004E6EC3"/>
    <w:rsid w:val="004E779A"/>
    <w:rsid w:val="004F5545"/>
    <w:rsid w:val="004F71E3"/>
    <w:rsid w:val="00505170"/>
    <w:rsid w:val="00507D90"/>
    <w:rsid w:val="00507FF5"/>
    <w:rsid w:val="00527700"/>
    <w:rsid w:val="005304AD"/>
    <w:rsid w:val="00534187"/>
    <w:rsid w:val="00535D6B"/>
    <w:rsid w:val="0054031B"/>
    <w:rsid w:val="00542267"/>
    <w:rsid w:val="005509F0"/>
    <w:rsid w:val="0055125E"/>
    <w:rsid w:val="005601C6"/>
    <w:rsid w:val="005733E0"/>
    <w:rsid w:val="0057353F"/>
    <w:rsid w:val="0057632F"/>
    <w:rsid w:val="00576AB7"/>
    <w:rsid w:val="00576BC8"/>
    <w:rsid w:val="0058193B"/>
    <w:rsid w:val="005835C8"/>
    <w:rsid w:val="0058418B"/>
    <w:rsid w:val="00587CF1"/>
    <w:rsid w:val="00592305"/>
    <w:rsid w:val="005933AA"/>
    <w:rsid w:val="005A7285"/>
    <w:rsid w:val="005B05F1"/>
    <w:rsid w:val="005B0E18"/>
    <w:rsid w:val="005B29EA"/>
    <w:rsid w:val="005B7F9A"/>
    <w:rsid w:val="005C439C"/>
    <w:rsid w:val="005D4FD4"/>
    <w:rsid w:val="005E4BDE"/>
    <w:rsid w:val="005F11D6"/>
    <w:rsid w:val="005F22CC"/>
    <w:rsid w:val="005F61AD"/>
    <w:rsid w:val="00602DAB"/>
    <w:rsid w:val="00605A17"/>
    <w:rsid w:val="00611D3E"/>
    <w:rsid w:val="00614D30"/>
    <w:rsid w:val="0061547F"/>
    <w:rsid w:val="00622401"/>
    <w:rsid w:val="00624D36"/>
    <w:rsid w:val="00630B87"/>
    <w:rsid w:val="00633924"/>
    <w:rsid w:val="0063716F"/>
    <w:rsid w:val="006419E0"/>
    <w:rsid w:val="0064389C"/>
    <w:rsid w:val="006440A7"/>
    <w:rsid w:val="00645AD4"/>
    <w:rsid w:val="0064643A"/>
    <w:rsid w:val="00651FC5"/>
    <w:rsid w:val="00662024"/>
    <w:rsid w:val="00663165"/>
    <w:rsid w:val="00666E3E"/>
    <w:rsid w:val="0067291F"/>
    <w:rsid w:val="006731E1"/>
    <w:rsid w:val="00673350"/>
    <w:rsid w:val="00680129"/>
    <w:rsid w:val="00680E06"/>
    <w:rsid w:val="006820CF"/>
    <w:rsid w:val="0068391E"/>
    <w:rsid w:val="006872BC"/>
    <w:rsid w:val="0069777C"/>
    <w:rsid w:val="006A2E93"/>
    <w:rsid w:val="006B2D1F"/>
    <w:rsid w:val="006B3B89"/>
    <w:rsid w:val="006D15DC"/>
    <w:rsid w:val="006D163B"/>
    <w:rsid w:val="006D4536"/>
    <w:rsid w:val="006D7332"/>
    <w:rsid w:val="006E436E"/>
    <w:rsid w:val="006E77B7"/>
    <w:rsid w:val="006F4C10"/>
    <w:rsid w:val="006F4F15"/>
    <w:rsid w:val="0071799F"/>
    <w:rsid w:val="0073148A"/>
    <w:rsid w:val="0073463C"/>
    <w:rsid w:val="00740BD2"/>
    <w:rsid w:val="0074287E"/>
    <w:rsid w:val="00742EFE"/>
    <w:rsid w:val="00752224"/>
    <w:rsid w:val="007523CE"/>
    <w:rsid w:val="007527E8"/>
    <w:rsid w:val="007550FC"/>
    <w:rsid w:val="007553AD"/>
    <w:rsid w:val="00756C11"/>
    <w:rsid w:val="00765CFB"/>
    <w:rsid w:val="00766481"/>
    <w:rsid w:val="0076729E"/>
    <w:rsid w:val="007855F9"/>
    <w:rsid w:val="007869AE"/>
    <w:rsid w:val="0079018D"/>
    <w:rsid w:val="0079769D"/>
    <w:rsid w:val="007A62E2"/>
    <w:rsid w:val="007A774A"/>
    <w:rsid w:val="007A785A"/>
    <w:rsid w:val="007C13B1"/>
    <w:rsid w:val="007D5AC8"/>
    <w:rsid w:val="007D7F5E"/>
    <w:rsid w:val="007E2B1B"/>
    <w:rsid w:val="007F017D"/>
    <w:rsid w:val="008003AD"/>
    <w:rsid w:val="008109BD"/>
    <w:rsid w:val="00816ADB"/>
    <w:rsid w:val="00817898"/>
    <w:rsid w:val="008314B1"/>
    <w:rsid w:val="008322B6"/>
    <w:rsid w:val="0084053C"/>
    <w:rsid w:val="008477A3"/>
    <w:rsid w:val="00851452"/>
    <w:rsid w:val="0085192D"/>
    <w:rsid w:val="00856490"/>
    <w:rsid w:val="00865AA0"/>
    <w:rsid w:val="008746EA"/>
    <w:rsid w:val="00874AF9"/>
    <w:rsid w:val="00877034"/>
    <w:rsid w:val="00877745"/>
    <w:rsid w:val="008A178F"/>
    <w:rsid w:val="008A2EAE"/>
    <w:rsid w:val="008A347C"/>
    <w:rsid w:val="008A4EE7"/>
    <w:rsid w:val="008B1D79"/>
    <w:rsid w:val="008C0C26"/>
    <w:rsid w:val="008D2AF6"/>
    <w:rsid w:val="008D4802"/>
    <w:rsid w:val="008E4DAA"/>
    <w:rsid w:val="00904524"/>
    <w:rsid w:val="00914029"/>
    <w:rsid w:val="009256D8"/>
    <w:rsid w:val="00953A45"/>
    <w:rsid w:val="00955C21"/>
    <w:rsid w:val="0095736E"/>
    <w:rsid w:val="0096055F"/>
    <w:rsid w:val="0097175B"/>
    <w:rsid w:val="009745DB"/>
    <w:rsid w:val="009B2FBD"/>
    <w:rsid w:val="009C582E"/>
    <w:rsid w:val="009E2FC7"/>
    <w:rsid w:val="009E33FC"/>
    <w:rsid w:val="009E79F4"/>
    <w:rsid w:val="009F07BC"/>
    <w:rsid w:val="009F0E9D"/>
    <w:rsid w:val="009F5573"/>
    <w:rsid w:val="00A02656"/>
    <w:rsid w:val="00A10554"/>
    <w:rsid w:val="00A10580"/>
    <w:rsid w:val="00A2295B"/>
    <w:rsid w:val="00A25699"/>
    <w:rsid w:val="00A305D7"/>
    <w:rsid w:val="00A33E30"/>
    <w:rsid w:val="00A3766F"/>
    <w:rsid w:val="00A4255D"/>
    <w:rsid w:val="00A42FD5"/>
    <w:rsid w:val="00A4320F"/>
    <w:rsid w:val="00A466A9"/>
    <w:rsid w:val="00A47CD6"/>
    <w:rsid w:val="00A55C1A"/>
    <w:rsid w:val="00A73C12"/>
    <w:rsid w:val="00A81B20"/>
    <w:rsid w:val="00A821DB"/>
    <w:rsid w:val="00A91381"/>
    <w:rsid w:val="00A95FDD"/>
    <w:rsid w:val="00A96888"/>
    <w:rsid w:val="00AA768B"/>
    <w:rsid w:val="00AB249E"/>
    <w:rsid w:val="00AB6D56"/>
    <w:rsid w:val="00AC7D2F"/>
    <w:rsid w:val="00AD65C7"/>
    <w:rsid w:val="00AD74EE"/>
    <w:rsid w:val="00AF483D"/>
    <w:rsid w:val="00AF7B21"/>
    <w:rsid w:val="00B07298"/>
    <w:rsid w:val="00B078AF"/>
    <w:rsid w:val="00B1126A"/>
    <w:rsid w:val="00B14BA2"/>
    <w:rsid w:val="00B15444"/>
    <w:rsid w:val="00B176A6"/>
    <w:rsid w:val="00B25A90"/>
    <w:rsid w:val="00B30EBC"/>
    <w:rsid w:val="00B458C7"/>
    <w:rsid w:val="00B50E6F"/>
    <w:rsid w:val="00B52BE2"/>
    <w:rsid w:val="00B53B84"/>
    <w:rsid w:val="00B71D76"/>
    <w:rsid w:val="00B755E8"/>
    <w:rsid w:val="00B76EB5"/>
    <w:rsid w:val="00B817F9"/>
    <w:rsid w:val="00B859A2"/>
    <w:rsid w:val="00B92D5C"/>
    <w:rsid w:val="00BB40DC"/>
    <w:rsid w:val="00BB4F37"/>
    <w:rsid w:val="00BB52F8"/>
    <w:rsid w:val="00BC6BD0"/>
    <w:rsid w:val="00BC7FAA"/>
    <w:rsid w:val="00BD103C"/>
    <w:rsid w:val="00BD30FB"/>
    <w:rsid w:val="00BE7043"/>
    <w:rsid w:val="00BF69CD"/>
    <w:rsid w:val="00BF6F24"/>
    <w:rsid w:val="00C005A6"/>
    <w:rsid w:val="00C1300D"/>
    <w:rsid w:val="00C26064"/>
    <w:rsid w:val="00C26172"/>
    <w:rsid w:val="00C30DDE"/>
    <w:rsid w:val="00C314C9"/>
    <w:rsid w:val="00C40077"/>
    <w:rsid w:val="00C456A2"/>
    <w:rsid w:val="00C578DB"/>
    <w:rsid w:val="00C60AB9"/>
    <w:rsid w:val="00C81AC1"/>
    <w:rsid w:val="00C83256"/>
    <w:rsid w:val="00C91A77"/>
    <w:rsid w:val="00C920AB"/>
    <w:rsid w:val="00C92A2E"/>
    <w:rsid w:val="00C94147"/>
    <w:rsid w:val="00C949DF"/>
    <w:rsid w:val="00CA14C0"/>
    <w:rsid w:val="00CB7982"/>
    <w:rsid w:val="00CD3DA5"/>
    <w:rsid w:val="00CD7499"/>
    <w:rsid w:val="00CE0F39"/>
    <w:rsid w:val="00CE2F1B"/>
    <w:rsid w:val="00CE45FF"/>
    <w:rsid w:val="00CF187E"/>
    <w:rsid w:val="00CF4916"/>
    <w:rsid w:val="00D12E86"/>
    <w:rsid w:val="00D13B86"/>
    <w:rsid w:val="00D15180"/>
    <w:rsid w:val="00D154EB"/>
    <w:rsid w:val="00D16238"/>
    <w:rsid w:val="00D17AEA"/>
    <w:rsid w:val="00D35BDC"/>
    <w:rsid w:val="00D36FA1"/>
    <w:rsid w:val="00D407A1"/>
    <w:rsid w:val="00D56054"/>
    <w:rsid w:val="00D7469A"/>
    <w:rsid w:val="00D864AE"/>
    <w:rsid w:val="00D86659"/>
    <w:rsid w:val="00D95D7D"/>
    <w:rsid w:val="00D96977"/>
    <w:rsid w:val="00DA0ED4"/>
    <w:rsid w:val="00DA1318"/>
    <w:rsid w:val="00DB102E"/>
    <w:rsid w:val="00DB62B6"/>
    <w:rsid w:val="00DD0B3A"/>
    <w:rsid w:val="00DD1263"/>
    <w:rsid w:val="00DD34FC"/>
    <w:rsid w:val="00DD3F08"/>
    <w:rsid w:val="00DD48ED"/>
    <w:rsid w:val="00DD49DC"/>
    <w:rsid w:val="00DD5152"/>
    <w:rsid w:val="00DE2886"/>
    <w:rsid w:val="00DE32D8"/>
    <w:rsid w:val="00DE45D4"/>
    <w:rsid w:val="00DF05C6"/>
    <w:rsid w:val="00E1443F"/>
    <w:rsid w:val="00E16B5E"/>
    <w:rsid w:val="00E21E93"/>
    <w:rsid w:val="00E256EB"/>
    <w:rsid w:val="00E31822"/>
    <w:rsid w:val="00E36CB7"/>
    <w:rsid w:val="00E427C6"/>
    <w:rsid w:val="00E44304"/>
    <w:rsid w:val="00E4487F"/>
    <w:rsid w:val="00E4721D"/>
    <w:rsid w:val="00E50EBD"/>
    <w:rsid w:val="00E5224B"/>
    <w:rsid w:val="00E53CBB"/>
    <w:rsid w:val="00E54C2B"/>
    <w:rsid w:val="00E61E83"/>
    <w:rsid w:val="00E72E08"/>
    <w:rsid w:val="00E75CDE"/>
    <w:rsid w:val="00E945F2"/>
    <w:rsid w:val="00EC41AB"/>
    <w:rsid w:val="00ED4396"/>
    <w:rsid w:val="00ED57B0"/>
    <w:rsid w:val="00ED5EE8"/>
    <w:rsid w:val="00EF661E"/>
    <w:rsid w:val="00F00E1C"/>
    <w:rsid w:val="00F062EF"/>
    <w:rsid w:val="00F07208"/>
    <w:rsid w:val="00F07EEC"/>
    <w:rsid w:val="00F10EBD"/>
    <w:rsid w:val="00F116FA"/>
    <w:rsid w:val="00F129FA"/>
    <w:rsid w:val="00F1414F"/>
    <w:rsid w:val="00F205C6"/>
    <w:rsid w:val="00F21FD4"/>
    <w:rsid w:val="00F23DDA"/>
    <w:rsid w:val="00F255FA"/>
    <w:rsid w:val="00F3439E"/>
    <w:rsid w:val="00F36C6B"/>
    <w:rsid w:val="00F37A04"/>
    <w:rsid w:val="00F550AE"/>
    <w:rsid w:val="00F62AF7"/>
    <w:rsid w:val="00F65EB2"/>
    <w:rsid w:val="00F74E46"/>
    <w:rsid w:val="00F77394"/>
    <w:rsid w:val="00F90791"/>
    <w:rsid w:val="00FB1BEE"/>
    <w:rsid w:val="00FB2A22"/>
    <w:rsid w:val="00FB7493"/>
    <w:rsid w:val="00FC0ACC"/>
    <w:rsid w:val="00FC7798"/>
    <w:rsid w:val="00FD1F8A"/>
    <w:rsid w:val="00FD4778"/>
    <w:rsid w:val="00F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81AE"/>
  <w15:docId w15:val="{E9DED1BA-DB46-41E3-8561-9D29BACF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178F"/>
    <w:rPr>
      <w:sz w:val="24"/>
      <w:szCs w:val="24"/>
    </w:rPr>
  </w:style>
  <w:style w:type="paragraph" w:styleId="Heading1">
    <w:name w:val="heading 1"/>
    <w:next w:val="Heading2"/>
    <w:link w:val="Heading1Char"/>
    <w:uiPriority w:val="2"/>
    <w:qFormat/>
    <w:rsid w:val="006D163B"/>
    <w:pPr>
      <w:keepNext/>
      <w:keepLines/>
      <w:numPr>
        <w:numId w:val="23"/>
      </w:numPr>
      <w:spacing w:before="140" w:after="280" w:line="560" w:lineRule="exact"/>
      <w:outlineLvl w:val="0"/>
    </w:pPr>
    <w:rPr>
      <w:rFonts w:asciiTheme="majorHAnsi" w:eastAsiaTheme="majorEastAsia" w:hAnsiTheme="majorHAnsi" w:cstheme="majorBidi"/>
      <w:bCs/>
      <w:color w:val="404040" w:themeColor="text1" w:themeTint="BF"/>
      <w:sz w:val="56"/>
      <w:szCs w:val="28"/>
      <w:lang w:eastAsia="en-US"/>
    </w:rPr>
  </w:style>
  <w:style w:type="paragraph" w:styleId="Heading2">
    <w:name w:val="heading 2"/>
    <w:next w:val="NormalNumbered"/>
    <w:link w:val="Heading2Char"/>
    <w:uiPriority w:val="3"/>
    <w:unhideWhenUsed/>
    <w:qFormat/>
    <w:rsid w:val="006D163B"/>
    <w:pPr>
      <w:keepNext/>
      <w:keepLines/>
      <w:numPr>
        <w:ilvl w:val="1"/>
        <w:numId w:val="23"/>
      </w:numPr>
      <w:spacing w:before="140" w:after="140" w:line="280" w:lineRule="exact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6"/>
      <w:lang w:eastAsia="en-US"/>
    </w:rPr>
  </w:style>
  <w:style w:type="paragraph" w:styleId="Heading3">
    <w:name w:val="heading 3"/>
    <w:next w:val="NormalNumbered"/>
    <w:link w:val="Heading3Char"/>
    <w:uiPriority w:val="4"/>
    <w:qFormat/>
    <w:rsid w:val="006D163B"/>
    <w:pPr>
      <w:keepNext/>
      <w:keepLines/>
      <w:numPr>
        <w:ilvl w:val="2"/>
        <w:numId w:val="23"/>
      </w:numPr>
      <w:spacing w:before="140" w:after="140" w:line="280" w:lineRule="exact"/>
      <w:outlineLvl w:val="2"/>
    </w:pPr>
    <w:rPr>
      <w:rFonts w:asciiTheme="majorHAnsi" w:eastAsiaTheme="majorEastAsia" w:hAnsiTheme="majorHAnsi" w:cstheme="majorBidi"/>
      <w:b/>
      <w:bCs/>
      <w:color w:val="404040" w:themeColor="text1" w:themeTint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3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023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3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237A"/>
    <w:rPr>
      <w:sz w:val="24"/>
      <w:szCs w:val="24"/>
    </w:rPr>
  </w:style>
  <w:style w:type="table" w:styleId="TableGrid">
    <w:name w:val="Table Grid"/>
    <w:basedOn w:val="TableNormal"/>
    <w:uiPriority w:val="59"/>
    <w:rsid w:val="00160CB3"/>
    <w:rPr>
      <w:rFonts w:ascii="Times" w:eastAsia="Times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Points,F5 List Paragraph,List Paragraph1,List Paragraph11"/>
    <w:basedOn w:val="Normal"/>
    <w:link w:val="ListParagraphChar"/>
    <w:uiPriority w:val="34"/>
    <w:qFormat/>
    <w:rsid w:val="00160CB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aliases w:val="BulletPoints Char,F5 List Paragraph Char,List Paragraph1 Char,List Paragraph11 Char"/>
    <w:link w:val="ListParagraph"/>
    <w:uiPriority w:val="34"/>
    <w:locked/>
    <w:rsid w:val="00160CB3"/>
    <w:rPr>
      <w:rFonts w:ascii="Times New Roman" w:eastAsia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160C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36C95"/>
    <w:rPr>
      <w:rFonts w:ascii="Times New Roman" w:eastAsia="Times New Roman" w:hAnsi="Times New Roman" w:cs="Times New Roman"/>
    </w:rPr>
  </w:style>
  <w:style w:type="character" w:customStyle="1" w:styleId="normalchar1">
    <w:name w:val="normal__char1"/>
    <w:rsid w:val="00036C95"/>
    <w:rPr>
      <w:rFonts w:ascii="Times New Roman" w:hAnsi="Times New Roman" w:cs="Times New Roman" w:hint="default"/>
      <w:sz w:val="24"/>
      <w:szCs w:val="24"/>
    </w:rPr>
  </w:style>
  <w:style w:type="paragraph" w:styleId="ListBullet">
    <w:name w:val="List Bullet"/>
    <w:uiPriority w:val="9"/>
    <w:unhideWhenUsed/>
    <w:qFormat/>
    <w:rsid w:val="00036C95"/>
    <w:pPr>
      <w:numPr>
        <w:numId w:val="4"/>
      </w:numPr>
      <w:tabs>
        <w:tab w:val="num" w:pos="360"/>
      </w:tabs>
      <w:spacing w:before="140" w:line="280" w:lineRule="atLeast"/>
      <w:ind w:left="0" w:firstLine="0"/>
      <w:contextualSpacing/>
    </w:pPr>
    <w:rPr>
      <w:rFonts w:ascii="Calibri" w:hAnsi="Calibri" w:cs="Times New Roman"/>
      <w:color w:val="404040"/>
      <w:sz w:val="22"/>
      <w:szCs w:val="22"/>
      <w:lang w:eastAsia="en-US"/>
    </w:rPr>
  </w:style>
  <w:style w:type="paragraph" w:styleId="ListBullet2">
    <w:name w:val="List Bullet 2"/>
    <w:uiPriority w:val="10"/>
    <w:unhideWhenUsed/>
    <w:qFormat/>
    <w:rsid w:val="00036C95"/>
    <w:pPr>
      <w:numPr>
        <w:ilvl w:val="1"/>
        <w:numId w:val="4"/>
      </w:numPr>
      <w:tabs>
        <w:tab w:val="num" w:pos="360"/>
      </w:tabs>
      <w:spacing w:before="140" w:line="280" w:lineRule="atLeast"/>
      <w:ind w:left="0" w:firstLine="0"/>
      <w:contextualSpacing/>
    </w:pPr>
    <w:rPr>
      <w:rFonts w:ascii="Calibri" w:hAnsi="Calibri" w:cs="Times New Roman"/>
      <w:color w:val="404040"/>
      <w:sz w:val="22"/>
      <w:szCs w:val="22"/>
      <w:lang w:eastAsia="en-US"/>
    </w:rPr>
  </w:style>
  <w:style w:type="paragraph" w:styleId="ListBullet3">
    <w:name w:val="List Bullet 3"/>
    <w:uiPriority w:val="11"/>
    <w:unhideWhenUsed/>
    <w:qFormat/>
    <w:rsid w:val="00036C95"/>
    <w:pPr>
      <w:numPr>
        <w:ilvl w:val="2"/>
        <w:numId w:val="4"/>
      </w:numPr>
      <w:tabs>
        <w:tab w:val="num" w:pos="360"/>
      </w:tabs>
      <w:spacing w:before="140" w:line="280" w:lineRule="atLeast"/>
      <w:ind w:left="0" w:firstLine="0"/>
      <w:contextualSpacing/>
    </w:pPr>
    <w:rPr>
      <w:rFonts w:ascii="Calibri" w:hAnsi="Calibri" w:cs="Times New Roman"/>
      <w:color w:val="404040"/>
      <w:sz w:val="22"/>
      <w:szCs w:val="22"/>
      <w:lang w:eastAsia="en-US"/>
    </w:rPr>
  </w:style>
  <w:style w:type="numbering" w:customStyle="1" w:styleId="SDGBullets">
    <w:name w:val="SDG Bullets"/>
    <w:uiPriority w:val="99"/>
    <w:rsid w:val="00036C95"/>
    <w:pPr>
      <w:numPr>
        <w:numId w:val="4"/>
      </w:numPr>
    </w:pPr>
  </w:style>
  <w:style w:type="paragraph" w:customStyle="1" w:styleId="Default">
    <w:name w:val="Default"/>
    <w:rsid w:val="002861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5CFB"/>
    <w:rPr>
      <w:rFonts w:ascii="Tahoma" w:hAnsi="Tahoma" w:cs="Tahoma"/>
      <w:sz w:val="16"/>
      <w:szCs w:val="16"/>
    </w:rPr>
  </w:style>
  <w:style w:type="numbering" w:customStyle="1" w:styleId="Cabinetreport">
    <w:name w:val="Cabinet report"/>
    <w:rsid w:val="00436FC5"/>
    <w:pPr>
      <w:numPr>
        <w:numId w:val="14"/>
      </w:numPr>
    </w:pPr>
  </w:style>
  <w:style w:type="character" w:styleId="CommentReference">
    <w:name w:val="annotation reference"/>
    <w:rsid w:val="00436F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FC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rsid w:val="00436FC5"/>
    <w:rPr>
      <w:rFonts w:ascii="Times New Roman" w:eastAsia="Times New Roman" w:hAnsi="Times New Roman" w:cs="Times New Roman"/>
    </w:rPr>
  </w:style>
  <w:style w:type="numbering" w:customStyle="1" w:styleId="Style1">
    <w:name w:val="Style1"/>
    <w:uiPriority w:val="99"/>
    <w:rsid w:val="00436FC5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27F"/>
    <w:pPr>
      <w:overflowPunct/>
      <w:autoSpaceDE/>
      <w:autoSpaceDN/>
      <w:adjustRightInd/>
      <w:textAlignment w:val="auto"/>
    </w:pPr>
    <w:rPr>
      <w:rFonts w:ascii="Arial" w:eastAsia="Calibri" w:hAnsi="Arial"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127F"/>
    <w:rPr>
      <w:rFonts w:ascii="Times New Roman" w:eastAsia="Times New Roman" w:hAnsi="Times New Roman" w:cs="Times New Roman"/>
      <w:b/>
      <w:bCs/>
    </w:rPr>
  </w:style>
  <w:style w:type="paragraph" w:customStyle="1" w:styleId="AmeyHeading3">
    <w:name w:val="Amey Heading 3"/>
    <w:basedOn w:val="Normal"/>
    <w:rsid w:val="00FD773A"/>
    <w:pPr>
      <w:spacing w:before="240"/>
    </w:pPr>
    <w:rPr>
      <w:color w:val="EF7D00"/>
      <w:sz w:val="22"/>
      <w:szCs w:val="22"/>
      <w:lang w:eastAsia="en-US"/>
    </w:rPr>
  </w:style>
  <w:style w:type="character" w:styleId="Hyperlink">
    <w:name w:val="Hyperlink"/>
    <w:uiPriority w:val="99"/>
    <w:unhideWhenUsed/>
    <w:rsid w:val="00E256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E256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2"/>
    <w:rsid w:val="006D163B"/>
    <w:rPr>
      <w:rFonts w:asciiTheme="majorHAnsi" w:eastAsiaTheme="majorEastAsia" w:hAnsiTheme="majorHAnsi" w:cstheme="majorBidi"/>
      <w:bCs/>
      <w:color w:val="404040" w:themeColor="text1" w:themeTint="BF"/>
      <w:sz w:val="5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D163B"/>
    <w:rPr>
      <w:rFonts w:asciiTheme="majorHAnsi" w:eastAsiaTheme="majorEastAsia" w:hAnsiTheme="majorHAnsi" w:cstheme="majorBidi"/>
      <w:b/>
      <w:bCs/>
      <w:color w:val="1F497D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6D163B"/>
    <w:rPr>
      <w:rFonts w:asciiTheme="majorHAnsi" w:eastAsiaTheme="majorEastAsia" w:hAnsiTheme="majorHAnsi" w:cstheme="majorBidi"/>
      <w:b/>
      <w:bCs/>
      <w:color w:val="404040" w:themeColor="text1" w:themeTint="BF"/>
      <w:sz w:val="22"/>
      <w:szCs w:val="22"/>
      <w:lang w:eastAsia="en-US"/>
    </w:rPr>
  </w:style>
  <w:style w:type="paragraph" w:customStyle="1" w:styleId="NormalNumbered">
    <w:name w:val="Normal Numbered"/>
    <w:uiPriority w:val="6"/>
    <w:qFormat/>
    <w:rsid w:val="006D163B"/>
    <w:pPr>
      <w:numPr>
        <w:ilvl w:val="3"/>
        <w:numId w:val="23"/>
      </w:numPr>
      <w:spacing w:before="140" w:after="140" w:line="280" w:lineRule="atLeast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3" ma:contentTypeDescription="Create a new document." ma:contentTypeScope="" ma:versionID="5af33d1625b1c5d56ee430dd08be06dd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7da424cf552e56abf560e00bc164e3bd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f12287-5f74-4593-92c9-e973669b9a71" xsi:nil="true"/>
  </documentManagement>
</p:properties>
</file>

<file path=customXml/itemProps1.xml><?xml version="1.0" encoding="utf-8"?>
<ds:datastoreItem xmlns:ds="http://schemas.openxmlformats.org/officeDocument/2006/customXml" ds:itemID="{7FC34811-B480-4D8F-9722-18FB26C70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EDB60-B85F-449A-AE27-5A73EA0A1BD9}"/>
</file>

<file path=customXml/itemProps3.xml><?xml version="1.0" encoding="utf-8"?>
<ds:datastoreItem xmlns:ds="http://schemas.openxmlformats.org/officeDocument/2006/customXml" ds:itemID="{9B12103B-AEE2-48BB-84D1-5D15AAF7A336}"/>
</file>

<file path=customXml/itemProps4.xml><?xml version="1.0" encoding="utf-8"?>
<ds:datastoreItem xmlns:ds="http://schemas.openxmlformats.org/officeDocument/2006/customXml" ds:itemID="{AE9EE9FF-BC8A-4EDC-93B4-6F528130B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12056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14143</CharactersWithSpaces>
  <SharedDoc>false</SharedDoc>
  <HLinks>
    <vt:vector size="6" baseType="variant"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mailto:Helen.Dyer@southeastlep.com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gemma.hicks2</dc:creator>
  <cp:lastModifiedBy>Howard Davies, Capital Programme Officer</cp:lastModifiedBy>
  <cp:revision>2</cp:revision>
  <cp:lastPrinted>2020-02-03T09:20:00Z</cp:lastPrinted>
  <dcterms:created xsi:type="dcterms:W3CDTF">2020-02-06T09:08:00Z</dcterms:created>
  <dcterms:modified xsi:type="dcterms:W3CDTF">2020-02-06T09:08:00Z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0x010100BB34A7656483B74FB66C73ECEA17E281</vt:lpwstr>
  </property>
</Properties>
</file>