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77ADD" w14:textId="5D29DFD5" w:rsidR="00463E19" w:rsidRPr="00463E19" w:rsidRDefault="00463E19" w:rsidP="00463E19">
      <w:pPr>
        <w:pStyle w:val="Title"/>
        <w:ind w:left="1134"/>
        <w:rPr>
          <w:rFonts w:asciiTheme="minorHAnsi" w:hAnsiTheme="minorHAnsi" w:cstheme="minorHAnsi"/>
        </w:rPr>
      </w:pPr>
      <w:r w:rsidRPr="00463E19">
        <w:rPr>
          <w:rFonts w:asciiTheme="minorHAnsi" w:hAnsiTheme="minorHAnsi" w:cstheme="minorHAnsi"/>
        </w:rPr>
        <w:t>Succession Planning</w:t>
      </w:r>
      <w:bookmarkStart w:id="0" w:name="_GoBack"/>
      <w:bookmarkEnd w:id="0"/>
    </w:p>
    <w:p w14:paraId="47C29506" w14:textId="77777777" w:rsidR="00463E19" w:rsidRPr="00463E19" w:rsidRDefault="00463E19" w:rsidP="00463E19">
      <w:pPr>
        <w:pStyle w:val="ListParagraph"/>
        <w:tabs>
          <w:tab w:val="left" w:pos="1107"/>
        </w:tabs>
        <w:spacing w:after="120"/>
        <w:ind w:left="1106" w:right="502"/>
        <w:rPr>
          <w:rFonts w:eastAsia="Calibri" w:cstheme="minorHAnsi"/>
          <w:b/>
          <w:sz w:val="24"/>
          <w:szCs w:val="24"/>
          <w:lang w:val="en-GB"/>
        </w:rPr>
      </w:pPr>
    </w:p>
    <w:p w14:paraId="5AFAB5DA" w14:textId="5575D7C3" w:rsidR="008F1CBC" w:rsidRPr="002E3F8E" w:rsidRDefault="008F1CBC" w:rsidP="00CE2D5E">
      <w:pPr>
        <w:pStyle w:val="ListParagraph"/>
        <w:numPr>
          <w:ilvl w:val="1"/>
          <w:numId w:val="1"/>
        </w:numPr>
        <w:tabs>
          <w:tab w:val="left" w:pos="1107"/>
        </w:tabs>
        <w:spacing w:after="120"/>
        <w:ind w:right="502"/>
        <w:rPr>
          <w:rFonts w:eastAsia="Calibri" w:cstheme="minorHAnsi"/>
          <w:b/>
          <w:sz w:val="24"/>
          <w:szCs w:val="24"/>
          <w:lang w:val="en-GB"/>
        </w:rPr>
      </w:pPr>
      <w:r w:rsidRPr="002E3F8E">
        <w:rPr>
          <w:rFonts w:eastAsia="Calibri" w:cstheme="minorHAnsi"/>
          <w:sz w:val="24"/>
          <w:szCs w:val="24"/>
          <w:lang w:val="en-GB"/>
        </w:rPr>
        <w:t xml:space="preserve">The Assurance Framework is currently being updated to be presented to the January </w:t>
      </w:r>
      <w:r w:rsidR="00463E19">
        <w:rPr>
          <w:rFonts w:eastAsia="Calibri" w:cstheme="minorHAnsi"/>
          <w:sz w:val="24"/>
          <w:szCs w:val="24"/>
          <w:lang w:val="en-GB"/>
        </w:rPr>
        <w:t xml:space="preserve">2020 </w:t>
      </w:r>
      <w:r w:rsidRPr="002E3F8E">
        <w:rPr>
          <w:rFonts w:eastAsia="Calibri" w:cstheme="minorHAnsi"/>
          <w:sz w:val="24"/>
          <w:szCs w:val="24"/>
          <w:lang w:val="en-GB"/>
        </w:rPr>
        <w:t xml:space="preserve">Board meeting, and part of this update will include a new section on succession planning. </w:t>
      </w:r>
    </w:p>
    <w:p w14:paraId="39F4A6F9" w14:textId="77777777" w:rsidR="008C0B73" w:rsidRDefault="00DD68C2" w:rsidP="00CE2D5E">
      <w:pPr>
        <w:pStyle w:val="ListParagraph"/>
        <w:numPr>
          <w:ilvl w:val="1"/>
          <w:numId w:val="1"/>
        </w:numPr>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 xml:space="preserve">Currently we have a number of different </w:t>
      </w:r>
      <w:r w:rsidR="0039004B" w:rsidRPr="002E3F8E">
        <w:rPr>
          <w:rFonts w:eastAsia="Calibri" w:cstheme="minorHAnsi"/>
          <w:sz w:val="24"/>
          <w:szCs w:val="24"/>
          <w:lang w:val="en-GB"/>
        </w:rPr>
        <w:t>approaches</w:t>
      </w:r>
      <w:r w:rsidRPr="002E3F8E">
        <w:rPr>
          <w:rFonts w:eastAsia="Calibri" w:cstheme="minorHAnsi"/>
          <w:sz w:val="24"/>
          <w:szCs w:val="24"/>
          <w:lang w:val="en-GB"/>
        </w:rPr>
        <w:t xml:space="preserve"> to succession planning for different categories of Board members which is </w:t>
      </w:r>
      <w:r w:rsidR="00CC52A8" w:rsidRPr="002E3F8E">
        <w:rPr>
          <w:rFonts w:eastAsia="Calibri" w:cstheme="minorHAnsi"/>
          <w:sz w:val="24"/>
          <w:szCs w:val="24"/>
          <w:lang w:val="en-GB"/>
        </w:rPr>
        <w:t>appropriate and will continue (see Table 1 below for details). To aid understanding and to ensure transparency we need to collate these different policies into a single section of the Assurance Framework. There is no intention to change the currently agreed processes.</w:t>
      </w:r>
    </w:p>
    <w:p w14:paraId="61B960A8" w14:textId="61D07310" w:rsidR="00DD68C2" w:rsidRDefault="008C0B73" w:rsidP="00CE2D5E">
      <w:pPr>
        <w:pStyle w:val="ListParagraph"/>
        <w:numPr>
          <w:ilvl w:val="1"/>
          <w:numId w:val="1"/>
        </w:numPr>
        <w:tabs>
          <w:tab w:val="left" w:pos="1107"/>
        </w:tabs>
        <w:spacing w:before="51" w:after="120"/>
        <w:ind w:right="502"/>
        <w:rPr>
          <w:rFonts w:eastAsia="Calibri" w:cstheme="minorHAnsi"/>
          <w:sz w:val="24"/>
          <w:szCs w:val="24"/>
          <w:lang w:val="en-GB"/>
        </w:rPr>
      </w:pPr>
      <w:r>
        <w:rPr>
          <w:rFonts w:eastAsia="Calibri" w:cstheme="minorHAnsi"/>
          <w:sz w:val="24"/>
          <w:szCs w:val="24"/>
          <w:lang w:val="en-GB"/>
        </w:rPr>
        <w:t xml:space="preserve">The Board has agreed that the Deputy Chair should be recruited from the private sector. This will help support the </w:t>
      </w:r>
      <w:r w:rsidR="00D65B4D">
        <w:rPr>
          <w:rFonts w:eastAsia="Calibri" w:cstheme="minorHAnsi"/>
          <w:sz w:val="24"/>
          <w:szCs w:val="24"/>
          <w:lang w:val="en-GB"/>
        </w:rPr>
        <w:t>succession planning for the Board</w:t>
      </w:r>
      <w:r w:rsidR="00CD48E5">
        <w:rPr>
          <w:rFonts w:eastAsia="Calibri" w:cstheme="minorHAnsi"/>
          <w:sz w:val="24"/>
          <w:szCs w:val="24"/>
          <w:lang w:val="en-GB"/>
        </w:rPr>
        <w:t xml:space="preserve"> and complies with the best practice guidance from Government. </w:t>
      </w:r>
      <w:r w:rsidR="00CC52A8" w:rsidRPr="002E3F8E">
        <w:rPr>
          <w:rFonts w:eastAsia="Calibri" w:cstheme="minorHAnsi"/>
          <w:sz w:val="24"/>
          <w:szCs w:val="24"/>
          <w:lang w:val="en-GB"/>
        </w:rPr>
        <w:t xml:space="preserve"> </w:t>
      </w:r>
    </w:p>
    <w:p w14:paraId="18BDC39B" w14:textId="482B3078" w:rsidR="002E3F8E" w:rsidRPr="002E3F8E" w:rsidRDefault="002E3F8E" w:rsidP="00CE2D5E">
      <w:pPr>
        <w:pStyle w:val="ListParagraph"/>
        <w:tabs>
          <w:tab w:val="left" w:pos="1107"/>
        </w:tabs>
        <w:spacing w:before="51" w:after="120"/>
        <w:ind w:left="1106" w:right="502"/>
        <w:rPr>
          <w:rFonts w:eastAsia="Calibri" w:cstheme="minorHAnsi"/>
          <w:b/>
          <w:sz w:val="24"/>
          <w:szCs w:val="24"/>
          <w:lang w:val="en-GB"/>
        </w:rPr>
      </w:pPr>
      <w:r w:rsidRPr="002E3F8E">
        <w:rPr>
          <w:rFonts w:eastAsia="Calibri" w:cstheme="minorHAnsi"/>
          <w:b/>
          <w:sz w:val="24"/>
          <w:szCs w:val="24"/>
          <w:lang w:val="en-GB"/>
        </w:rPr>
        <w:t>Table 1: Succession Planning for Full Board Members (new Board arrangements)</w:t>
      </w:r>
    </w:p>
    <w:tbl>
      <w:tblPr>
        <w:tblStyle w:val="TableGrid"/>
        <w:tblW w:w="0" w:type="auto"/>
        <w:tblInd w:w="1106" w:type="dxa"/>
        <w:tblLook w:val="04A0" w:firstRow="1" w:lastRow="0" w:firstColumn="1" w:lastColumn="0" w:noHBand="0" w:noVBand="1"/>
      </w:tblPr>
      <w:tblGrid>
        <w:gridCol w:w="3306"/>
        <w:gridCol w:w="3433"/>
        <w:gridCol w:w="3415"/>
      </w:tblGrid>
      <w:tr w:rsidR="00CC52A8" w:rsidRPr="002E3F8E" w14:paraId="3A03E78F" w14:textId="77777777" w:rsidTr="002E3F8E">
        <w:tc>
          <w:tcPr>
            <w:tcW w:w="3306" w:type="dxa"/>
            <w:shd w:val="clear" w:color="auto" w:fill="DAEEF3" w:themeFill="accent5" w:themeFillTint="33"/>
          </w:tcPr>
          <w:p w14:paraId="04DA0ACE" w14:textId="61DACACF" w:rsidR="00CC52A8" w:rsidRPr="002E3F8E" w:rsidRDefault="00CC52A8" w:rsidP="00CE2D5E">
            <w:pPr>
              <w:pStyle w:val="ListParagraph"/>
              <w:tabs>
                <w:tab w:val="left" w:pos="1107"/>
              </w:tabs>
              <w:spacing w:before="51" w:after="120"/>
              <w:ind w:right="502"/>
              <w:rPr>
                <w:rFonts w:eastAsia="Calibri" w:cstheme="minorHAnsi"/>
                <w:b/>
                <w:sz w:val="24"/>
                <w:szCs w:val="24"/>
                <w:lang w:val="en-GB"/>
              </w:rPr>
            </w:pPr>
            <w:r w:rsidRPr="002E3F8E">
              <w:rPr>
                <w:rFonts w:eastAsia="Calibri" w:cstheme="minorHAnsi"/>
                <w:b/>
                <w:sz w:val="24"/>
                <w:szCs w:val="24"/>
                <w:lang w:val="en-GB"/>
              </w:rPr>
              <w:t>Category of Board Member</w:t>
            </w:r>
          </w:p>
        </w:tc>
        <w:tc>
          <w:tcPr>
            <w:tcW w:w="3433" w:type="dxa"/>
            <w:shd w:val="clear" w:color="auto" w:fill="DAEEF3" w:themeFill="accent5" w:themeFillTint="33"/>
          </w:tcPr>
          <w:p w14:paraId="3BDD2EEB" w14:textId="20FB0156" w:rsidR="00CC52A8" w:rsidRPr="002E3F8E" w:rsidRDefault="00CC52A8" w:rsidP="00CE2D5E">
            <w:pPr>
              <w:pStyle w:val="ListParagraph"/>
              <w:tabs>
                <w:tab w:val="left" w:pos="1107"/>
              </w:tabs>
              <w:spacing w:before="51" w:after="120"/>
              <w:ind w:right="502"/>
              <w:rPr>
                <w:rFonts w:eastAsia="Calibri" w:cstheme="minorHAnsi"/>
                <w:b/>
                <w:sz w:val="24"/>
                <w:szCs w:val="24"/>
                <w:lang w:val="en-GB"/>
              </w:rPr>
            </w:pPr>
            <w:r w:rsidRPr="002E3F8E">
              <w:rPr>
                <w:rFonts w:eastAsia="Calibri" w:cstheme="minorHAnsi"/>
                <w:b/>
                <w:sz w:val="24"/>
                <w:szCs w:val="24"/>
                <w:lang w:val="en-GB"/>
              </w:rPr>
              <w:t>Succession Approach</w:t>
            </w:r>
          </w:p>
        </w:tc>
        <w:tc>
          <w:tcPr>
            <w:tcW w:w="3415" w:type="dxa"/>
            <w:shd w:val="clear" w:color="auto" w:fill="DAEEF3" w:themeFill="accent5" w:themeFillTint="33"/>
          </w:tcPr>
          <w:p w14:paraId="2F5DBC0C" w14:textId="79220143" w:rsidR="00CC52A8" w:rsidRPr="002E3F8E" w:rsidRDefault="00CC52A8" w:rsidP="00CE2D5E">
            <w:pPr>
              <w:pStyle w:val="ListParagraph"/>
              <w:tabs>
                <w:tab w:val="left" w:pos="1107"/>
              </w:tabs>
              <w:spacing w:before="51" w:after="120"/>
              <w:ind w:right="502"/>
              <w:rPr>
                <w:rFonts w:eastAsia="Calibri" w:cstheme="minorHAnsi"/>
                <w:b/>
                <w:sz w:val="24"/>
                <w:szCs w:val="24"/>
                <w:lang w:val="en-GB"/>
              </w:rPr>
            </w:pPr>
            <w:r w:rsidRPr="002E3F8E">
              <w:rPr>
                <w:rFonts w:eastAsia="Calibri" w:cstheme="minorHAnsi"/>
                <w:b/>
                <w:sz w:val="24"/>
                <w:szCs w:val="24"/>
                <w:lang w:val="en-GB"/>
              </w:rPr>
              <w:t>Policy/Governance</w:t>
            </w:r>
          </w:p>
        </w:tc>
      </w:tr>
      <w:tr w:rsidR="00CC52A8" w:rsidRPr="002E3F8E" w14:paraId="0EA818F1" w14:textId="77777777" w:rsidTr="002E3F8E">
        <w:tc>
          <w:tcPr>
            <w:tcW w:w="3306" w:type="dxa"/>
          </w:tcPr>
          <w:p w14:paraId="42D73290" w14:textId="7E4DB382"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Chair of SELEP</w:t>
            </w:r>
          </w:p>
        </w:tc>
        <w:tc>
          <w:tcPr>
            <w:tcW w:w="3433" w:type="dxa"/>
          </w:tcPr>
          <w:p w14:paraId="54BBA171" w14:textId="56D3B2D6"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Open recruitment – run by SELEP Secretariat/Decided by SELEP Strategic Board</w:t>
            </w:r>
          </w:p>
        </w:tc>
        <w:tc>
          <w:tcPr>
            <w:tcW w:w="3415" w:type="dxa"/>
          </w:tcPr>
          <w:p w14:paraId="3D2D51CE" w14:textId="7C85557E"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Chair Recruitment Policy</w:t>
            </w:r>
          </w:p>
        </w:tc>
      </w:tr>
      <w:tr w:rsidR="002E3F8E" w:rsidRPr="002E3F8E" w14:paraId="1C14A736" w14:textId="77777777" w:rsidTr="002E3F8E">
        <w:tc>
          <w:tcPr>
            <w:tcW w:w="3306" w:type="dxa"/>
            <w:shd w:val="clear" w:color="auto" w:fill="FFFFFF" w:themeFill="background1"/>
          </w:tcPr>
          <w:p w14:paraId="61D18581" w14:textId="4A00BA7F"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Deputy Chair of SELEP</w:t>
            </w:r>
          </w:p>
        </w:tc>
        <w:tc>
          <w:tcPr>
            <w:tcW w:w="3433" w:type="dxa"/>
            <w:shd w:val="clear" w:color="auto" w:fill="FFFFFF" w:themeFill="background1"/>
          </w:tcPr>
          <w:p w14:paraId="3DFB894B" w14:textId="2BC629D5"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Open recruitment – run by SELEP Secretariat/Decided by SELEP Strategic Board</w:t>
            </w:r>
          </w:p>
        </w:tc>
        <w:tc>
          <w:tcPr>
            <w:tcW w:w="3415" w:type="dxa"/>
            <w:shd w:val="clear" w:color="auto" w:fill="FFFFFF" w:themeFill="background1"/>
          </w:tcPr>
          <w:p w14:paraId="75CEDD81" w14:textId="534FD4F6"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Deputy Chair Recruitment Policy</w:t>
            </w:r>
          </w:p>
        </w:tc>
      </w:tr>
      <w:tr w:rsidR="00CC52A8" w:rsidRPr="002E3F8E" w14:paraId="675524DF" w14:textId="77777777" w:rsidTr="002E3F8E">
        <w:tc>
          <w:tcPr>
            <w:tcW w:w="3306" w:type="dxa"/>
          </w:tcPr>
          <w:p w14:paraId="5F5F7425" w14:textId="5692094C"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Local Authority Members</w:t>
            </w:r>
          </w:p>
        </w:tc>
        <w:tc>
          <w:tcPr>
            <w:tcW w:w="3433" w:type="dxa"/>
          </w:tcPr>
          <w:p w14:paraId="6BF78BC0" w14:textId="6765E261"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Each Local Authority puts forward their representative. Must be a leader or member of Cabinet</w:t>
            </w:r>
          </w:p>
        </w:tc>
        <w:tc>
          <w:tcPr>
            <w:tcW w:w="3415" w:type="dxa"/>
          </w:tcPr>
          <w:p w14:paraId="12B93C90" w14:textId="22D3C431"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Terms of Reference/Articles of Association</w:t>
            </w:r>
          </w:p>
        </w:tc>
      </w:tr>
      <w:tr w:rsidR="00CC52A8" w:rsidRPr="002E3F8E" w14:paraId="6D3F8CBE" w14:textId="77777777" w:rsidTr="002E3F8E">
        <w:tc>
          <w:tcPr>
            <w:tcW w:w="3306" w:type="dxa"/>
          </w:tcPr>
          <w:p w14:paraId="48746091" w14:textId="6210036D"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Federated Board business representatives</w:t>
            </w:r>
          </w:p>
        </w:tc>
        <w:tc>
          <w:tcPr>
            <w:tcW w:w="3433" w:type="dxa"/>
          </w:tcPr>
          <w:p w14:paraId="33A9878C" w14:textId="4FC48728"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Nominated by Federated Boards. Recruitment to Federated Boards via open recruitment</w:t>
            </w:r>
          </w:p>
        </w:tc>
        <w:tc>
          <w:tcPr>
            <w:tcW w:w="3415" w:type="dxa"/>
          </w:tcPr>
          <w:p w14:paraId="09C1DCC8" w14:textId="0ABFD1E3" w:rsidR="00CC52A8" w:rsidRPr="002E3F8E" w:rsidRDefault="00CC52A8" w:rsidP="00CE2D5E">
            <w:pPr>
              <w:pStyle w:val="ListParagraph"/>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Federated board recruitment policies which comply with SELEP Board Recruitment policy</w:t>
            </w:r>
          </w:p>
        </w:tc>
      </w:tr>
    </w:tbl>
    <w:p w14:paraId="40442115" w14:textId="10B5EFE2" w:rsidR="00CC52A8" w:rsidRPr="002E3F8E" w:rsidRDefault="00CC52A8" w:rsidP="00CE2D5E">
      <w:pPr>
        <w:pStyle w:val="ListParagraph"/>
        <w:tabs>
          <w:tab w:val="left" w:pos="1107"/>
        </w:tabs>
        <w:spacing w:before="51" w:after="120"/>
        <w:ind w:left="1106" w:right="502"/>
        <w:rPr>
          <w:rFonts w:eastAsia="Calibri" w:cstheme="minorHAnsi"/>
          <w:sz w:val="24"/>
          <w:szCs w:val="24"/>
          <w:lang w:val="en-GB"/>
        </w:rPr>
      </w:pPr>
    </w:p>
    <w:p w14:paraId="0F7C955B" w14:textId="7A916A2E" w:rsidR="002E3F8E" w:rsidRPr="002E3F8E" w:rsidRDefault="002E3F8E" w:rsidP="00CE2D5E">
      <w:pPr>
        <w:pStyle w:val="ListParagraph"/>
        <w:tabs>
          <w:tab w:val="left" w:pos="1107"/>
        </w:tabs>
        <w:spacing w:before="51" w:after="120"/>
        <w:ind w:left="1106" w:right="502"/>
        <w:rPr>
          <w:rFonts w:eastAsia="Calibri" w:cstheme="minorHAnsi"/>
          <w:b/>
          <w:sz w:val="24"/>
          <w:szCs w:val="24"/>
          <w:lang w:val="en-GB"/>
        </w:rPr>
      </w:pPr>
      <w:r w:rsidRPr="002E3F8E">
        <w:rPr>
          <w:rFonts w:eastAsia="Calibri" w:cstheme="minorHAnsi"/>
          <w:b/>
          <w:sz w:val="24"/>
          <w:szCs w:val="24"/>
          <w:lang w:val="en-GB"/>
        </w:rPr>
        <w:t>Proposed Approach for Co-</w:t>
      </w:r>
      <w:r w:rsidR="00546887">
        <w:rPr>
          <w:rFonts w:eastAsia="Calibri" w:cstheme="minorHAnsi"/>
          <w:b/>
          <w:sz w:val="24"/>
          <w:szCs w:val="24"/>
          <w:lang w:val="en-GB"/>
        </w:rPr>
        <w:t>o</w:t>
      </w:r>
      <w:r w:rsidRPr="002E3F8E">
        <w:rPr>
          <w:rFonts w:eastAsia="Calibri" w:cstheme="minorHAnsi"/>
          <w:b/>
          <w:sz w:val="24"/>
          <w:szCs w:val="24"/>
          <w:lang w:val="en-GB"/>
        </w:rPr>
        <w:t>pted Members</w:t>
      </w:r>
    </w:p>
    <w:p w14:paraId="713C174D" w14:textId="3DDCEA31" w:rsidR="00CC52A8" w:rsidRDefault="002E3F8E" w:rsidP="00CE2D5E">
      <w:pPr>
        <w:pStyle w:val="ListParagraph"/>
        <w:numPr>
          <w:ilvl w:val="1"/>
          <w:numId w:val="1"/>
        </w:numPr>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 xml:space="preserve">In order to vote on the Board of Directors it will be necessary for the </w:t>
      </w:r>
      <w:r w:rsidR="0099285C">
        <w:rPr>
          <w:rFonts w:eastAsia="Calibri" w:cstheme="minorHAnsi"/>
          <w:sz w:val="24"/>
          <w:szCs w:val="24"/>
          <w:lang w:val="en-GB"/>
        </w:rPr>
        <w:t>c</w:t>
      </w:r>
      <w:r w:rsidRPr="002E3F8E">
        <w:rPr>
          <w:rFonts w:eastAsia="Calibri" w:cstheme="minorHAnsi"/>
          <w:sz w:val="24"/>
          <w:szCs w:val="24"/>
          <w:lang w:val="en-GB"/>
        </w:rPr>
        <w:t>o-</w:t>
      </w:r>
      <w:r w:rsidR="00546887">
        <w:rPr>
          <w:rFonts w:eastAsia="Calibri" w:cstheme="minorHAnsi"/>
          <w:sz w:val="24"/>
          <w:szCs w:val="24"/>
          <w:lang w:val="en-GB"/>
        </w:rPr>
        <w:t>o</w:t>
      </w:r>
      <w:r w:rsidRPr="002E3F8E">
        <w:rPr>
          <w:rFonts w:eastAsia="Calibri" w:cstheme="minorHAnsi"/>
          <w:sz w:val="24"/>
          <w:szCs w:val="24"/>
          <w:lang w:val="en-GB"/>
        </w:rPr>
        <w:t xml:space="preserve">pted members to be Directors of SELEP Ltd for the year of their service. This means that there may need to be approvals gained from their employing organisation. </w:t>
      </w:r>
      <w:r w:rsidR="00CC6EAB">
        <w:rPr>
          <w:rFonts w:eastAsia="Calibri" w:cstheme="minorHAnsi"/>
          <w:sz w:val="24"/>
          <w:szCs w:val="24"/>
          <w:lang w:val="en-GB"/>
        </w:rPr>
        <w:t xml:space="preserve">The Assurance Framework runs from April to March, as does the financial year and the delivery plan for SELEP. It is recommended that the year that </w:t>
      </w:r>
      <w:r w:rsidR="0099285C">
        <w:rPr>
          <w:rFonts w:eastAsia="Calibri" w:cstheme="minorHAnsi"/>
          <w:sz w:val="24"/>
          <w:szCs w:val="24"/>
          <w:lang w:val="en-GB"/>
        </w:rPr>
        <w:t>c</w:t>
      </w:r>
      <w:r w:rsidR="00CC6EAB">
        <w:rPr>
          <w:rFonts w:eastAsia="Calibri" w:cstheme="minorHAnsi"/>
          <w:sz w:val="24"/>
          <w:szCs w:val="24"/>
          <w:lang w:val="en-GB"/>
        </w:rPr>
        <w:t>o-</w:t>
      </w:r>
      <w:r w:rsidR="00546887">
        <w:rPr>
          <w:rFonts w:eastAsia="Calibri" w:cstheme="minorHAnsi"/>
          <w:sz w:val="24"/>
          <w:szCs w:val="24"/>
          <w:lang w:val="en-GB"/>
        </w:rPr>
        <w:t>o</w:t>
      </w:r>
      <w:r w:rsidR="00CC6EAB">
        <w:rPr>
          <w:rFonts w:eastAsia="Calibri" w:cstheme="minorHAnsi"/>
          <w:sz w:val="24"/>
          <w:szCs w:val="24"/>
          <w:lang w:val="en-GB"/>
        </w:rPr>
        <w:t>pted members serve would also be April to March (covering June, September, December and March Boards) to align.</w:t>
      </w:r>
    </w:p>
    <w:p w14:paraId="7CA995A0" w14:textId="073E6F61" w:rsidR="00CC6EAB" w:rsidRPr="00CC6EAB" w:rsidRDefault="00CC6EAB" w:rsidP="00CE2D5E">
      <w:pPr>
        <w:pStyle w:val="ListParagraph"/>
        <w:tabs>
          <w:tab w:val="left" w:pos="1107"/>
        </w:tabs>
        <w:spacing w:before="51" w:after="120"/>
        <w:ind w:left="1106" w:right="502"/>
        <w:rPr>
          <w:rFonts w:eastAsia="Calibri" w:cstheme="minorHAnsi"/>
          <w:b/>
          <w:sz w:val="24"/>
          <w:szCs w:val="24"/>
          <w:lang w:val="en-GB"/>
        </w:rPr>
      </w:pPr>
      <w:r>
        <w:rPr>
          <w:rFonts w:eastAsia="Calibri" w:cstheme="minorHAnsi"/>
          <w:b/>
          <w:sz w:val="24"/>
          <w:szCs w:val="24"/>
          <w:lang w:val="en-GB"/>
        </w:rPr>
        <w:t>Further Education, Higher Education and Social Enterprise Co-</w:t>
      </w:r>
      <w:r w:rsidR="00546887">
        <w:rPr>
          <w:rFonts w:eastAsia="Calibri" w:cstheme="minorHAnsi"/>
          <w:b/>
          <w:sz w:val="24"/>
          <w:szCs w:val="24"/>
          <w:lang w:val="en-GB"/>
        </w:rPr>
        <w:t>o</w:t>
      </w:r>
      <w:r>
        <w:rPr>
          <w:rFonts w:eastAsia="Calibri" w:cstheme="minorHAnsi"/>
          <w:b/>
          <w:sz w:val="24"/>
          <w:szCs w:val="24"/>
          <w:lang w:val="en-GB"/>
        </w:rPr>
        <w:t>pts</w:t>
      </w:r>
    </w:p>
    <w:p w14:paraId="77CA7055" w14:textId="672982CA" w:rsidR="00CC6EAB" w:rsidRDefault="00F0535B" w:rsidP="00CE2D5E">
      <w:pPr>
        <w:pStyle w:val="ListParagraph"/>
        <w:numPr>
          <w:ilvl w:val="1"/>
          <w:numId w:val="1"/>
        </w:numPr>
        <w:tabs>
          <w:tab w:val="left" w:pos="1107"/>
        </w:tabs>
        <w:spacing w:before="51" w:after="120"/>
        <w:ind w:right="502"/>
        <w:rPr>
          <w:rFonts w:eastAsia="Calibri" w:cstheme="minorHAnsi"/>
          <w:sz w:val="24"/>
          <w:szCs w:val="24"/>
          <w:lang w:val="en-GB"/>
        </w:rPr>
      </w:pPr>
      <w:r>
        <w:rPr>
          <w:rFonts w:eastAsia="Calibri" w:cstheme="minorHAnsi"/>
          <w:sz w:val="24"/>
          <w:szCs w:val="24"/>
          <w:lang w:val="en-GB"/>
        </w:rPr>
        <w:t>T</w:t>
      </w:r>
      <w:r w:rsidR="00CC6EAB">
        <w:rPr>
          <w:rFonts w:eastAsia="Calibri" w:cstheme="minorHAnsi"/>
          <w:sz w:val="24"/>
          <w:szCs w:val="24"/>
          <w:lang w:val="en-GB"/>
        </w:rPr>
        <w:t xml:space="preserve">hese </w:t>
      </w:r>
      <w:r w:rsidR="0099285C">
        <w:rPr>
          <w:rFonts w:eastAsia="Calibri" w:cstheme="minorHAnsi"/>
          <w:sz w:val="24"/>
          <w:szCs w:val="24"/>
          <w:lang w:val="en-GB"/>
        </w:rPr>
        <w:t>c</w:t>
      </w:r>
      <w:r w:rsidR="00CC6EAB">
        <w:rPr>
          <w:rFonts w:eastAsia="Calibri" w:cstheme="minorHAnsi"/>
          <w:sz w:val="24"/>
          <w:szCs w:val="24"/>
          <w:lang w:val="en-GB"/>
        </w:rPr>
        <w:t>o-</w:t>
      </w:r>
      <w:r w:rsidR="00546887">
        <w:rPr>
          <w:rFonts w:eastAsia="Calibri" w:cstheme="minorHAnsi"/>
          <w:sz w:val="24"/>
          <w:szCs w:val="24"/>
          <w:lang w:val="en-GB"/>
        </w:rPr>
        <w:t>o</w:t>
      </w:r>
      <w:r w:rsidR="00CC6EAB">
        <w:rPr>
          <w:rFonts w:eastAsia="Calibri" w:cstheme="minorHAnsi"/>
          <w:sz w:val="24"/>
          <w:szCs w:val="24"/>
          <w:lang w:val="en-GB"/>
        </w:rPr>
        <w:t>pts will be nominated by their sector groups as</w:t>
      </w:r>
      <w:r w:rsidR="008C0B73">
        <w:rPr>
          <w:rFonts w:eastAsia="Calibri" w:cstheme="minorHAnsi"/>
          <w:sz w:val="24"/>
          <w:szCs w:val="24"/>
          <w:lang w:val="en-GB"/>
        </w:rPr>
        <w:t xml:space="preserve"> per the current process, </w:t>
      </w:r>
      <w:r w:rsidR="00575C91">
        <w:rPr>
          <w:rFonts w:eastAsia="Calibri" w:cstheme="minorHAnsi"/>
          <w:sz w:val="24"/>
          <w:szCs w:val="24"/>
          <w:lang w:val="en-GB"/>
        </w:rPr>
        <w:t>set out within the SELEP Board Recruitment process</w:t>
      </w:r>
      <w:r w:rsidR="00CC6EAB">
        <w:rPr>
          <w:rFonts w:eastAsia="Calibri" w:cstheme="minorHAnsi"/>
          <w:sz w:val="24"/>
          <w:szCs w:val="24"/>
          <w:lang w:val="en-GB"/>
        </w:rPr>
        <w:t xml:space="preserve">. This would be the Skills Advisory Group, the U9 Group and </w:t>
      </w:r>
      <w:r w:rsidR="00CC6EAB">
        <w:rPr>
          <w:rFonts w:eastAsia="Calibri" w:cstheme="minorHAnsi"/>
          <w:sz w:val="24"/>
          <w:szCs w:val="24"/>
          <w:lang w:val="en-GB"/>
        </w:rPr>
        <w:lastRenderedPageBreak/>
        <w:t xml:space="preserve">the Social Enterprise Group respectively. </w:t>
      </w:r>
    </w:p>
    <w:p w14:paraId="31E7C10B" w14:textId="035ACC57" w:rsidR="00CC6EAB" w:rsidRDefault="00CC6EAB" w:rsidP="00CE2D5E">
      <w:pPr>
        <w:pStyle w:val="ListParagraph"/>
        <w:numPr>
          <w:ilvl w:val="1"/>
          <w:numId w:val="1"/>
        </w:numPr>
        <w:tabs>
          <w:tab w:val="left" w:pos="1107"/>
        </w:tabs>
        <w:spacing w:before="51" w:after="120"/>
        <w:ind w:right="502"/>
        <w:rPr>
          <w:rFonts w:eastAsia="Calibri" w:cstheme="minorHAnsi"/>
          <w:sz w:val="24"/>
          <w:szCs w:val="24"/>
          <w:lang w:val="en-GB"/>
        </w:rPr>
      </w:pPr>
      <w:r>
        <w:rPr>
          <w:rFonts w:eastAsia="Calibri" w:cstheme="minorHAnsi"/>
          <w:sz w:val="24"/>
          <w:szCs w:val="24"/>
          <w:lang w:val="en-GB"/>
        </w:rPr>
        <w:t>To comply with the requirements of the LEP Review that Strategic Board should consider the future year’s Delivery Plan at its December Board meeting and make any recommendations to the sector groups for particular skills/knowledge from their representatives that would align with the Delivery Plan. The sectors groups have to confirm names of representatives at the March Board.</w:t>
      </w:r>
    </w:p>
    <w:p w14:paraId="09A112FB" w14:textId="193D8206" w:rsidR="00CC6EAB" w:rsidRPr="00CC6EAB" w:rsidRDefault="00CC6EAB" w:rsidP="00CE2D5E">
      <w:pPr>
        <w:pStyle w:val="ListParagraph"/>
        <w:tabs>
          <w:tab w:val="left" w:pos="1107"/>
        </w:tabs>
        <w:spacing w:before="51" w:after="120"/>
        <w:ind w:left="1106" w:right="502"/>
        <w:rPr>
          <w:rFonts w:eastAsia="Calibri" w:cstheme="minorHAnsi"/>
          <w:b/>
          <w:sz w:val="24"/>
          <w:szCs w:val="24"/>
          <w:lang w:val="en-GB"/>
        </w:rPr>
      </w:pPr>
      <w:r>
        <w:rPr>
          <w:rFonts w:eastAsia="Calibri" w:cstheme="minorHAnsi"/>
          <w:b/>
          <w:sz w:val="24"/>
          <w:szCs w:val="24"/>
          <w:lang w:val="en-GB"/>
        </w:rPr>
        <w:t>Local Authority Co-</w:t>
      </w:r>
      <w:r w:rsidR="00546887">
        <w:rPr>
          <w:rFonts w:eastAsia="Calibri" w:cstheme="minorHAnsi"/>
          <w:b/>
          <w:sz w:val="24"/>
          <w:szCs w:val="24"/>
          <w:lang w:val="en-GB"/>
        </w:rPr>
        <w:t>o</w:t>
      </w:r>
      <w:r>
        <w:rPr>
          <w:rFonts w:eastAsia="Calibri" w:cstheme="minorHAnsi"/>
          <w:b/>
          <w:sz w:val="24"/>
          <w:szCs w:val="24"/>
          <w:lang w:val="en-GB"/>
        </w:rPr>
        <w:t>pts</w:t>
      </w:r>
    </w:p>
    <w:p w14:paraId="4E8CD82E" w14:textId="6A718656" w:rsidR="00B8189A" w:rsidRDefault="00BD349E" w:rsidP="00CE2D5E">
      <w:pPr>
        <w:pStyle w:val="ListParagraph"/>
        <w:numPr>
          <w:ilvl w:val="1"/>
          <w:numId w:val="1"/>
        </w:numPr>
        <w:tabs>
          <w:tab w:val="left" w:pos="1107"/>
        </w:tabs>
        <w:spacing w:before="51" w:after="120"/>
        <w:ind w:right="502"/>
        <w:rPr>
          <w:rFonts w:eastAsia="Calibri" w:cstheme="minorHAnsi"/>
          <w:sz w:val="24"/>
          <w:szCs w:val="24"/>
          <w:lang w:val="en-GB"/>
        </w:rPr>
      </w:pPr>
      <w:r w:rsidRPr="002E3F8E">
        <w:rPr>
          <w:rFonts w:eastAsia="Calibri" w:cstheme="minorHAnsi"/>
          <w:sz w:val="24"/>
          <w:szCs w:val="24"/>
          <w:lang w:val="en-GB"/>
        </w:rPr>
        <w:t xml:space="preserve">There are </w:t>
      </w:r>
      <w:r w:rsidR="00CC6EAB">
        <w:rPr>
          <w:rFonts w:eastAsia="Calibri" w:cstheme="minorHAnsi"/>
          <w:sz w:val="24"/>
          <w:szCs w:val="24"/>
          <w:lang w:val="en-GB"/>
        </w:rPr>
        <w:t xml:space="preserve">two Local Authority </w:t>
      </w:r>
      <w:r w:rsidR="0099285C">
        <w:rPr>
          <w:rFonts w:eastAsia="Calibri" w:cstheme="minorHAnsi"/>
          <w:sz w:val="24"/>
          <w:szCs w:val="24"/>
          <w:lang w:val="en-GB"/>
        </w:rPr>
        <w:t>c</w:t>
      </w:r>
      <w:r w:rsidR="00CC6EAB">
        <w:rPr>
          <w:rFonts w:eastAsia="Calibri" w:cstheme="minorHAnsi"/>
          <w:sz w:val="24"/>
          <w:szCs w:val="24"/>
          <w:lang w:val="en-GB"/>
        </w:rPr>
        <w:t>o-</w:t>
      </w:r>
      <w:r w:rsidR="00546887">
        <w:rPr>
          <w:rFonts w:eastAsia="Calibri" w:cstheme="minorHAnsi"/>
          <w:sz w:val="24"/>
          <w:szCs w:val="24"/>
          <w:lang w:val="en-GB"/>
        </w:rPr>
        <w:t>o</w:t>
      </w:r>
      <w:r w:rsidR="00CC6EAB">
        <w:rPr>
          <w:rFonts w:eastAsia="Calibri" w:cstheme="minorHAnsi"/>
          <w:sz w:val="24"/>
          <w:szCs w:val="24"/>
          <w:lang w:val="en-GB"/>
        </w:rPr>
        <w:t>pt</w:t>
      </w:r>
      <w:r w:rsidR="0099285C">
        <w:rPr>
          <w:rFonts w:eastAsia="Calibri" w:cstheme="minorHAnsi"/>
          <w:sz w:val="24"/>
          <w:szCs w:val="24"/>
          <w:lang w:val="en-GB"/>
        </w:rPr>
        <w:t>ed</w:t>
      </w:r>
      <w:r w:rsidR="00CC6EAB">
        <w:rPr>
          <w:rFonts w:eastAsia="Calibri" w:cstheme="minorHAnsi"/>
          <w:sz w:val="24"/>
          <w:szCs w:val="24"/>
          <w:lang w:val="en-GB"/>
        </w:rPr>
        <w:t xml:space="preserve"> seats on the Board. These seats are reserved for representatives of District/Borough/City Councils. </w:t>
      </w:r>
      <w:r w:rsidR="00463E19">
        <w:rPr>
          <w:rFonts w:eastAsia="Calibri" w:cstheme="minorHAnsi"/>
          <w:sz w:val="24"/>
          <w:szCs w:val="24"/>
          <w:lang w:val="en-GB"/>
        </w:rPr>
        <w:t>A</w:t>
      </w:r>
      <w:r w:rsidR="00CC6EAB">
        <w:rPr>
          <w:rFonts w:eastAsia="Calibri" w:cstheme="minorHAnsi"/>
          <w:sz w:val="24"/>
          <w:szCs w:val="24"/>
          <w:lang w:val="en-GB"/>
        </w:rPr>
        <w:t>t their December meeting</w:t>
      </w:r>
      <w:r w:rsidR="007F5979">
        <w:rPr>
          <w:rFonts w:eastAsia="Calibri" w:cstheme="minorHAnsi"/>
          <w:sz w:val="24"/>
          <w:szCs w:val="24"/>
          <w:lang w:val="en-GB"/>
        </w:rPr>
        <w:t>,</w:t>
      </w:r>
      <w:r w:rsidR="00CC6EAB">
        <w:rPr>
          <w:rFonts w:eastAsia="Calibri" w:cstheme="minorHAnsi"/>
          <w:sz w:val="24"/>
          <w:szCs w:val="24"/>
          <w:lang w:val="en-GB"/>
        </w:rPr>
        <w:t xml:space="preserve"> the Strategic Board discuss which two of the three </w:t>
      </w:r>
      <w:r w:rsidR="0039004B">
        <w:rPr>
          <w:rFonts w:eastAsia="Calibri" w:cstheme="minorHAnsi"/>
          <w:sz w:val="24"/>
          <w:szCs w:val="24"/>
          <w:lang w:val="en-GB"/>
        </w:rPr>
        <w:t xml:space="preserve">shire areas would be invited to put forward a representative for the </w:t>
      </w:r>
      <w:proofErr w:type="gramStart"/>
      <w:r w:rsidR="0039004B">
        <w:rPr>
          <w:rFonts w:eastAsia="Calibri" w:cstheme="minorHAnsi"/>
          <w:sz w:val="24"/>
          <w:szCs w:val="24"/>
          <w:lang w:val="en-GB"/>
        </w:rPr>
        <w:t>forth</w:t>
      </w:r>
      <w:proofErr w:type="gramEnd"/>
      <w:r w:rsidR="0039004B">
        <w:rPr>
          <w:rFonts w:eastAsia="Calibri" w:cstheme="minorHAnsi"/>
          <w:sz w:val="24"/>
          <w:szCs w:val="24"/>
          <w:lang w:val="en-GB"/>
        </w:rPr>
        <w:t>-coming year, again looking for alignment with the Delivery Plan for that year.</w:t>
      </w:r>
      <w:r w:rsidR="007F5979" w:rsidRPr="007F5979">
        <w:rPr>
          <w:rFonts w:eastAsia="Calibri" w:cstheme="minorHAnsi"/>
          <w:sz w:val="24"/>
          <w:szCs w:val="24"/>
          <w:lang w:val="en-GB"/>
        </w:rPr>
        <w:t xml:space="preserve"> </w:t>
      </w:r>
      <w:r w:rsidR="007F5979">
        <w:rPr>
          <w:rFonts w:eastAsia="Calibri" w:cstheme="minorHAnsi"/>
          <w:sz w:val="24"/>
          <w:szCs w:val="24"/>
          <w:lang w:val="en-GB"/>
        </w:rPr>
        <w:t xml:space="preserve">As discussed at the October Strategic Board meeting, the </w:t>
      </w:r>
      <w:r w:rsidR="0099285C">
        <w:rPr>
          <w:rFonts w:eastAsia="Calibri" w:cstheme="minorHAnsi"/>
          <w:sz w:val="24"/>
          <w:szCs w:val="24"/>
          <w:lang w:val="en-GB"/>
        </w:rPr>
        <w:t>c</w:t>
      </w:r>
      <w:r w:rsidR="007F5979">
        <w:rPr>
          <w:rFonts w:eastAsia="Calibri" w:cstheme="minorHAnsi"/>
          <w:sz w:val="24"/>
          <w:szCs w:val="24"/>
          <w:lang w:val="en-GB"/>
        </w:rPr>
        <w:t>o-</w:t>
      </w:r>
      <w:r w:rsidR="00546887">
        <w:rPr>
          <w:rFonts w:eastAsia="Calibri" w:cstheme="minorHAnsi"/>
          <w:sz w:val="24"/>
          <w:szCs w:val="24"/>
          <w:lang w:val="en-GB"/>
        </w:rPr>
        <w:t>o</w:t>
      </w:r>
      <w:r w:rsidR="007F5979">
        <w:rPr>
          <w:rFonts w:eastAsia="Calibri" w:cstheme="minorHAnsi"/>
          <w:sz w:val="24"/>
          <w:szCs w:val="24"/>
          <w:lang w:val="en-GB"/>
        </w:rPr>
        <w:t>pted districts/cities/boroughs for 2020/2021 will come from Kent and Essex.</w:t>
      </w:r>
      <w:r w:rsidR="0039004B">
        <w:rPr>
          <w:rFonts w:eastAsia="Calibri" w:cstheme="minorHAnsi"/>
          <w:sz w:val="24"/>
          <w:szCs w:val="24"/>
          <w:lang w:val="en-GB"/>
        </w:rPr>
        <w:t xml:space="preserve"> </w:t>
      </w:r>
    </w:p>
    <w:p w14:paraId="61770F68" w14:textId="7BDA2108" w:rsidR="0039004B" w:rsidRDefault="0039004B" w:rsidP="00CE2D5E">
      <w:pPr>
        <w:pStyle w:val="ListParagraph"/>
        <w:numPr>
          <w:ilvl w:val="1"/>
          <w:numId w:val="1"/>
        </w:numPr>
        <w:tabs>
          <w:tab w:val="left" w:pos="1107"/>
        </w:tabs>
        <w:spacing w:before="51" w:after="120"/>
        <w:ind w:right="502"/>
        <w:rPr>
          <w:rFonts w:eastAsia="Calibri" w:cstheme="minorHAnsi"/>
          <w:sz w:val="24"/>
          <w:szCs w:val="24"/>
          <w:lang w:val="en-GB"/>
        </w:rPr>
      </w:pPr>
      <w:r>
        <w:rPr>
          <w:rFonts w:eastAsia="Calibri" w:cstheme="minorHAnsi"/>
          <w:sz w:val="24"/>
          <w:szCs w:val="24"/>
          <w:lang w:val="en-GB"/>
        </w:rPr>
        <w:t xml:space="preserve">The District/Borough/City Councils for the relevant area would then be asked to select a representative who must be confirmed by the March meeting of the Strategic Board. </w:t>
      </w:r>
      <w:r w:rsidR="00C80895">
        <w:rPr>
          <w:rFonts w:eastAsia="Calibri" w:cstheme="minorHAnsi"/>
          <w:sz w:val="24"/>
          <w:szCs w:val="24"/>
          <w:lang w:val="en-GB"/>
        </w:rPr>
        <w:t>This will enable the representatives to sit as a Director from the first Board meeting due to take place in 2020/21.</w:t>
      </w:r>
    </w:p>
    <w:p w14:paraId="1B5EDB3A" w14:textId="77777777" w:rsidR="00AE2D84" w:rsidRPr="002E3F8E" w:rsidRDefault="00AE2D84" w:rsidP="00CE2D5E">
      <w:pPr>
        <w:spacing w:after="120"/>
        <w:rPr>
          <w:rFonts w:eastAsia="Calibri" w:cstheme="minorHAnsi"/>
          <w:b/>
          <w:bCs/>
          <w:sz w:val="24"/>
          <w:szCs w:val="24"/>
          <w:lang w:val="en-GB"/>
        </w:rPr>
      </w:pPr>
    </w:p>
    <w:p w14:paraId="210D0DFF" w14:textId="77777777" w:rsidR="00AE2D84" w:rsidRPr="002E3F8E" w:rsidRDefault="00AE2D84" w:rsidP="00CE2D5E">
      <w:pPr>
        <w:spacing w:after="120"/>
        <w:rPr>
          <w:rFonts w:eastAsia="Calibri" w:cstheme="minorHAnsi"/>
          <w:sz w:val="24"/>
          <w:szCs w:val="24"/>
          <w:lang w:val="en-GB"/>
        </w:rPr>
      </w:pPr>
    </w:p>
    <w:sectPr w:rsidR="00AE2D84" w:rsidRPr="002E3F8E" w:rsidSect="00326501">
      <w:headerReference w:type="default" r:id="rId8"/>
      <w:pgSz w:w="11910" w:h="16840"/>
      <w:pgMar w:top="1820" w:right="460" w:bottom="280" w:left="180"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3848" w14:textId="77777777" w:rsidR="000A738E" w:rsidRDefault="000A738E">
      <w:r>
        <w:separator/>
      </w:r>
    </w:p>
  </w:endnote>
  <w:endnote w:type="continuationSeparator" w:id="0">
    <w:p w14:paraId="5E217468" w14:textId="77777777" w:rsidR="000A738E" w:rsidRDefault="000A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1A73D" w14:textId="77777777" w:rsidR="000A738E" w:rsidRDefault="000A738E">
      <w:r>
        <w:separator/>
      </w:r>
    </w:p>
  </w:footnote>
  <w:footnote w:type="continuationSeparator" w:id="0">
    <w:p w14:paraId="20D835D4" w14:textId="77777777" w:rsidR="000A738E" w:rsidRDefault="000A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20D4" w14:textId="1D238B98" w:rsidR="008C0B73" w:rsidRDefault="008C0B73">
    <w:pPr>
      <w:spacing w:line="14" w:lineRule="auto"/>
      <w:rPr>
        <w:sz w:val="20"/>
        <w:szCs w:val="20"/>
      </w:rPr>
    </w:pPr>
    <w:r>
      <w:rPr>
        <w:noProof/>
        <w:lang w:val="en-GB" w:eastAsia="en-GB"/>
      </w:rPr>
      <w:drawing>
        <wp:anchor distT="0" distB="0" distL="114300" distR="114300" simplePos="0" relativeHeight="503312888" behindDoc="1" locked="0" layoutInCell="1" allowOverlap="1" wp14:anchorId="128412F8" wp14:editId="77AF0D19">
          <wp:simplePos x="0" y="0"/>
          <wp:positionH relativeFrom="page">
            <wp:posOffset>0</wp:posOffset>
          </wp:positionH>
          <wp:positionV relativeFrom="page">
            <wp:posOffset>0</wp:posOffset>
          </wp:positionV>
          <wp:extent cx="2437168" cy="10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68" cy="1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7F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C73923"/>
    <w:multiLevelType w:val="hybridMultilevel"/>
    <w:tmpl w:val="66C04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913CA"/>
    <w:multiLevelType w:val="multilevel"/>
    <w:tmpl w:val="0B147D8C"/>
    <w:lvl w:ilvl="0">
      <w:start w:val="1"/>
      <w:numFmt w:val="decimal"/>
      <w:lvlText w:val="%1."/>
      <w:lvlJc w:val="left"/>
      <w:pPr>
        <w:ind w:left="1106" w:hanging="567"/>
      </w:pPr>
      <w:rPr>
        <w:rFonts w:ascii="Calibri" w:eastAsia="Calibri" w:hAnsi="Calibri" w:hint="default"/>
        <w:b/>
        <w:bCs/>
        <w:w w:val="99"/>
        <w:sz w:val="24"/>
        <w:szCs w:val="24"/>
      </w:rPr>
    </w:lvl>
    <w:lvl w:ilvl="1">
      <w:start w:val="1"/>
      <w:numFmt w:val="decimal"/>
      <w:lvlText w:val="%1.%2."/>
      <w:lvlJc w:val="left"/>
      <w:pPr>
        <w:ind w:left="1106" w:hanging="567"/>
      </w:pPr>
      <w:rPr>
        <w:rFonts w:ascii="Calibri" w:eastAsia="Calibri" w:hAnsi="Calibri" w:hint="default"/>
        <w:b w:val="0"/>
        <w:w w:val="100"/>
        <w:sz w:val="24"/>
        <w:szCs w:val="24"/>
      </w:rPr>
    </w:lvl>
    <w:lvl w:ilvl="2">
      <w:start w:val="1"/>
      <w:numFmt w:val="decimal"/>
      <w:lvlText w:val="%1.%2.%3."/>
      <w:lvlJc w:val="left"/>
      <w:pPr>
        <w:ind w:left="1817" w:hanging="711"/>
      </w:pPr>
      <w:rPr>
        <w:rFonts w:ascii="Calibri" w:eastAsia="Calibri" w:hAnsi="Calibri" w:hint="default"/>
        <w:w w:val="100"/>
        <w:sz w:val="24"/>
        <w:szCs w:val="24"/>
      </w:rPr>
    </w:lvl>
    <w:lvl w:ilvl="3">
      <w:start w:val="1"/>
      <w:numFmt w:val="bullet"/>
      <w:lvlText w:val="•"/>
      <w:lvlJc w:val="left"/>
      <w:pPr>
        <w:ind w:left="3070" w:hanging="711"/>
      </w:pPr>
      <w:rPr>
        <w:rFonts w:hint="default"/>
      </w:rPr>
    </w:lvl>
    <w:lvl w:ilvl="4">
      <w:start w:val="1"/>
      <w:numFmt w:val="bullet"/>
      <w:lvlText w:val="•"/>
      <w:lvlJc w:val="left"/>
      <w:pPr>
        <w:ind w:left="4241" w:hanging="711"/>
      </w:pPr>
      <w:rPr>
        <w:rFonts w:hint="default"/>
      </w:rPr>
    </w:lvl>
    <w:lvl w:ilvl="5">
      <w:start w:val="1"/>
      <w:numFmt w:val="bullet"/>
      <w:lvlText w:val="•"/>
      <w:lvlJc w:val="left"/>
      <w:pPr>
        <w:ind w:left="5412" w:hanging="711"/>
      </w:pPr>
      <w:rPr>
        <w:rFonts w:hint="default"/>
      </w:rPr>
    </w:lvl>
    <w:lvl w:ilvl="6">
      <w:start w:val="1"/>
      <w:numFmt w:val="bullet"/>
      <w:lvlText w:val="•"/>
      <w:lvlJc w:val="left"/>
      <w:pPr>
        <w:ind w:left="6583" w:hanging="711"/>
      </w:pPr>
      <w:rPr>
        <w:rFonts w:hint="default"/>
      </w:rPr>
    </w:lvl>
    <w:lvl w:ilvl="7">
      <w:start w:val="1"/>
      <w:numFmt w:val="bullet"/>
      <w:lvlText w:val="•"/>
      <w:lvlJc w:val="left"/>
      <w:pPr>
        <w:ind w:left="7754" w:hanging="711"/>
      </w:pPr>
      <w:rPr>
        <w:rFonts w:hint="default"/>
      </w:rPr>
    </w:lvl>
    <w:lvl w:ilvl="8">
      <w:start w:val="1"/>
      <w:numFmt w:val="bullet"/>
      <w:lvlText w:val="•"/>
      <w:lvlJc w:val="left"/>
      <w:pPr>
        <w:ind w:left="8924" w:hanging="711"/>
      </w:pPr>
      <w:rPr>
        <w:rFonts w:hint="default"/>
      </w:rPr>
    </w:lvl>
  </w:abstractNum>
  <w:abstractNum w:abstractNumId="3" w15:restartNumberingAfterBreak="0">
    <w:nsid w:val="67DA7388"/>
    <w:multiLevelType w:val="hybridMultilevel"/>
    <w:tmpl w:val="EF72A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901175"/>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84"/>
    <w:rsid w:val="000357BF"/>
    <w:rsid w:val="00057FD1"/>
    <w:rsid w:val="00070FCE"/>
    <w:rsid w:val="00076E8F"/>
    <w:rsid w:val="00092C35"/>
    <w:rsid w:val="000A2BE1"/>
    <w:rsid w:val="000A738E"/>
    <w:rsid w:val="000B1CA4"/>
    <w:rsid w:val="000B35DB"/>
    <w:rsid w:val="000C0A05"/>
    <w:rsid w:val="000C1E1E"/>
    <w:rsid w:val="000D66B4"/>
    <w:rsid w:val="000D680A"/>
    <w:rsid w:val="000E5107"/>
    <w:rsid w:val="000F1618"/>
    <w:rsid w:val="00111573"/>
    <w:rsid w:val="001326D2"/>
    <w:rsid w:val="00147ED6"/>
    <w:rsid w:val="00187505"/>
    <w:rsid w:val="001C3829"/>
    <w:rsid w:val="001C3CB8"/>
    <w:rsid w:val="001E05E3"/>
    <w:rsid w:val="001E34CE"/>
    <w:rsid w:val="00211DDD"/>
    <w:rsid w:val="002520D3"/>
    <w:rsid w:val="002557CE"/>
    <w:rsid w:val="0027768E"/>
    <w:rsid w:val="00283DFE"/>
    <w:rsid w:val="002D708B"/>
    <w:rsid w:val="002E3F8E"/>
    <w:rsid w:val="003121C1"/>
    <w:rsid w:val="00326501"/>
    <w:rsid w:val="00327819"/>
    <w:rsid w:val="0033356E"/>
    <w:rsid w:val="00343078"/>
    <w:rsid w:val="0039004B"/>
    <w:rsid w:val="00391B0E"/>
    <w:rsid w:val="00395211"/>
    <w:rsid w:val="003A79AE"/>
    <w:rsid w:val="003A7A91"/>
    <w:rsid w:val="003D7EE4"/>
    <w:rsid w:val="003E39A7"/>
    <w:rsid w:val="00416A28"/>
    <w:rsid w:val="0043421C"/>
    <w:rsid w:val="00443138"/>
    <w:rsid w:val="00463E19"/>
    <w:rsid w:val="00485A02"/>
    <w:rsid w:val="0048785E"/>
    <w:rsid w:val="00495189"/>
    <w:rsid w:val="004A4DA5"/>
    <w:rsid w:val="004D54D2"/>
    <w:rsid w:val="005031DF"/>
    <w:rsid w:val="005209E6"/>
    <w:rsid w:val="00546887"/>
    <w:rsid w:val="005619AE"/>
    <w:rsid w:val="0056767A"/>
    <w:rsid w:val="00575C91"/>
    <w:rsid w:val="00590C6E"/>
    <w:rsid w:val="005A2C05"/>
    <w:rsid w:val="005D67DE"/>
    <w:rsid w:val="005E5540"/>
    <w:rsid w:val="005F422B"/>
    <w:rsid w:val="0060395A"/>
    <w:rsid w:val="00633F6E"/>
    <w:rsid w:val="006458A8"/>
    <w:rsid w:val="00654000"/>
    <w:rsid w:val="00654047"/>
    <w:rsid w:val="0067750C"/>
    <w:rsid w:val="00694A8D"/>
    <w:rsid w:val="00695114"/>
    <w:rsid w:val="006D1AEC"/>
    <w:rsid w:val="006D5D68"/>
    <w:rsid w:val="006E0B42"/>
    <w:rsid w:val="006E6B0D"/>
    <w:rsid w:val="006F2889"/>
    <w:rsid w:val="006F60FA"/>
    <w:rsid w:val="0070676E"/>
    <w:rsid w:val="00730A31"/>
    <w:rsid w:val="00740AB2"/>
    <w:rsid w:val="00791007"/>
    <w:rsid w:val="00796985"/>
    <w:rsid w:val="007A7C11"/>
    <w:rsid w:val="007B5E6B"/>
    <w:rsid w:val="007C16CD"/>
    <w:rsid w:val="007F5979"/>
    <w:rsid w:val="00800809"/>
    <w:rsid w:val="0080533B"/>
    <w:rsid w:val="00824F39"/>
    <w:rsid w:val="00843902"/>
    <w:rsid w:val="0088129E"/>
    <w:rsid w:val="00882F2E"/>
    <w:rsid w:val="008A04C6"/>
    <w:rsid w:val="008C0B73"/>
    <w:rsid w:val="008C280B"/>
    <w:rsid w:val="008E6392"/>
    <w:rsid w:val="008F1CBC"/>
    <w:rsid w:val="009030CF"/>
    <w:rsid w:val="00936AAC"/>
    <w:rsid w:val="00974A11"/>
    <w:rsid w:val="00980508"/>
    <w:rsid w:val="0099240F"/>
    <w:rsid w:val="0099285C"/>
    <w:rsid w:val="009C4D79"/>
    <w:rsid w:val="009C5135"/>
    <w:rsid w:val="009C7A58"/>
    <w:rsid w:val="009D2E6C"/>
    <w:rsid w:val="00A204C8"/>
    <w:rsid w:val="00A35A93"/>
    <w:rsid w:val="00A52933"/>
    <w:rsid w:val="00A95882"/>
    <w:rsid w:val="00AB1842"/>
    <w:rsid w:val="00AE2D84"/>
    <w:rsid w:val="00B7055F"/>
    <w:rsid w:val="00B8189A"/>
    <w:rsid w:val="00B91438"/>
    <w:rsid w:val="00BB4541"/>
    <w:rsid w:val="00BB5021"/>
    <w:rsid w:val="00BB6E72"/>
    <w:rsid w:val="00BD349E"/>
    <w:rsid w:val="00C14E3C"/>
    <w:rsid w:val="00C2274E"/>
    <w:rsid w:val="00C37F61"/>
    <w:rsid w:val="00C80895"/>
    <w:rsid w:val="00C8798A"/>
    <w:rsid w:val="00CA1374"/>
    <w:rsid w:val="00CC52A8"/>
    <w:rsid w:val="00CC6EAB"/>
    <w:rsid w:val="00CD48E5"/>
    <w:rsid w:val="00CD7030"/>
    <w:rsid w:val="00CE2D5E"/>
    <w:rsid w:val="00D03CA7"/>
    <w:rsid w:val="00D209BA"/>
    <w:rsid w:val="00D620FD"/>
    <w:rsid w:val="00D65B4D"/>
    <w:rsid w:val="00DB400A"/>
    <w:rsid w:val="00DC4328"/>
    <w:rsid w:val="00DC4D01"/>
    <w:rsid w:val="00DD68C2"/>
    <w:rsid w:val="00DF1146"/>
    <w:rsid w:val="00DF4949"/>
    <w:rsid w:val="00E704F8"/>
    <w:rsid w:val="00E71575"/>
    <w:rsid w:val="00EA656F"/>
    <w:rsid w:val="00EE5C4C"/>
    <w:rsid w:val="00F00F24"/>
    <w:rsid w:val="00F0535B"/>
    <w:rsid w:val="00F6097D"/>
    <w:rsid w:val="00FC54B5"/>
    <w:rsid w:val="00FD2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774B13"/>
  <w15:docId w15:val="{6D39391A-10F3-4680-ADA0-3F0AEE25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uiPriority w:val="9"/>
    <w:qFormat/>
    <w:pPr>
      <w:ind w:left="900" w:hanging="566"/>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06" w:hanging="56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GridTable4-Accent51">
    <w:name w:val="Grid Table 4 - Accent 51"/>
    <w:basedOn w:val="TableNormal"/>
    <w:uiPriority w:val="49"/>
    <w:rsid w:val="006F2889"/>
    <w:pPr>
      <w:widowControl/>
    </w:pPr>
    <w:rPr>
      <w:rFonts w:ascii="Times New Roman" w:eastAsia="Times New Roman" w:hAnsi="Times New Roman" w:cs="Times New Roman"/>
      <w:sz w:val="20"/>
      <w:szCs w:val="20"/>
      <w:lang w:val="en-GB" w:eastAsia="en-GB"/>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9C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58"/>
    <w:rPr>
      <w:rFonts w:ascii="Segoe UI" w:hAnsi="Segoe UI" w:cs="Segoe UI"/>
      <w:sz w:val="18"/>
      <w:szCs w:val="18"/>
    </w:rPr>
  </w:style>
  <w:style w:type="character" w:styleId="Hyperlink">
    <w:name w:val="Hyperlink"/>
    <w:basedOn w:val="DefaultParagraphFont"/>
    <w:uiPriority w:val="99"/>
    <w:unhideWhenUsed/>
    <w:rsid w:val="005619AE"/>
    <w:rPr>
      <w:color w:val="0000FF" w:themeColor="hyperlink"/>
      <w:u w:val="single"/>
    </w:rPr>
  </w:style>
  <w:style w:type="character" w:customStyle="1" w:styleId="UnresolvedMention1">
    <w:name w:val="Unresolved Mention1"/>
    <w:basedOn w:val="DefaultParagraphFont"/>
    <w:uiPriority w:val="99"/>
    <w:semiHidden/>
    <w:unhideWhenUsed/>
    <w:rsid w:val="005619AE"/>
    <w:rPr>
      <w:color w:val="605E5C"/>
      <w:shd w:val="clear" w:color="auto" w:fill="E1DFDD"/>
    </w:rPr>
  </w:style>
  <w:style w:type="character" w:styleId="CommentReference">
    <w:name w:val="annotation reference"/>
    <w:basedOn w:val="DefaultParagraphFont"/>
    <w:uiPriority w:val="99"/>
    <w:semiHidden/>
    <w:unhideWhenUsed/>
    <w:rsid w:val="00D620FD"/>
    <w:rPr>
      <w:sz w:val="16"/>
      <w:szCs w:val="16"/>
    </w:rPr>
  </w:style>
  <w:style w:type="paragraph" w:styleId="CommentText">
    <w:name w:val="annotation text"/>
    <w:basedOn w:val="Normal"/>
    <w:link w:val="CommentTextChar"/>
    <w:uiPriority w:val="99"/>
    <w:semiHidden/>
    <w:unhideWhenUsed/>
    <w:rsid w:val="00D620FD"/>
    <w:rPr>
      <w:sz w:val="20"/>
      <w:szCs w:val="20"/>
    </w:rPr>
  </w:style>
  <w:style w:type="character" w:customStyle="1" w:styleId="CommentTextChar">
    <w:name w:val="Comment Text Char"/>
    <w:basedOn w:val="DefaultParagraphFont"/>
    <w:link w:val="CommentText"/>
    <w:uiPriority w:val="99"/>
    <w:semiHidden/>
    <w:rsid w:val="00D620FD"/>
    <w:rPr>
      <w:sz w:val="20"/>
      <w:szCs w:val="20"/>
    </w:rPr>
  </w:style>
  <w:style w:type="paragraph" w:styleId="CommentSubject">
    <w:name w:val="annotation subject"/>
    <w:basedOn w:val="CommentText"/>
    <w:next w:val="CommentText"/>
    <w:link w:val="CommentSubjectChar"/>
    <w:uiPriority w:val="99"/>
    <w:semiHidden/>
    <w:unhideWhenUsed/>
    <w:rsid w:val="00D620FD"/>
    <w:rPr>
      <w:b/>
      <w:bCs/>
    </w:rPr>
  </w:style>
  <w:style w:type="character" w:customStyle="1" w:styleId="CommentSubjectChar">
    <w:name w:val="Comment Subject Char"/>
    <w:basedOn w:val="CommentTextChar"/>
    <w:link w:val="CommentSubject"/>
    <w:uiPriority w:val="99"/>
    <w:semiHidden/>
    <w:rsid w:val="00D620FD"/>
    <w:rPr>
      <w:b/>
      <w:bCs/>
      <w:sz w:val="20"/>
      <w:szCs w:val="20"/>
    </w:rPr>
  </w:style>
  <w:style w:type="paragraph" w:styleId="Header">
    <w:name w:val="header"/>
    <w:basedOn w:val="Normal"/>
    <w:link w:val="HeaderChar"/>
    <w:uiPriority w:val="99"/>
    <w:unhideWhenUsed/>
    <w:rsid w:val="001326D2"/>
    <w:pPr>
      <w:tabs>
        <w:tab w:val="center" w:pos="4513"/>
        <w:tab w:val="right" w:pos="9026"/>
      </w:tabs>
    </w:pPr>
  </w:style>
  <w:style w:type="character" w:customStyle="1" w:styleId="HeaderChar">
    <w:name w:val="Header Char"/>
    <w:basedOn w:val="DefaultParagraphFont"/>
    <w:link w:val="Header"/>
    <w:uiPriority w:val="99"/>
    <w:rsid w:val="001326D2"/>
  </w:style>
  <w:style w:type="paragraph" w:styleId="Footer">
    <w:name w:val="footer"/>
    <w:basedOn w:val="Normal"/>
    <w:link w:val="FooterChar"/>
    <w:uiPriority w:val="99"/>
    <w:unhideWhenUsed/>
    <w:rsid w:val="001326D2"/>
    <w:pPr>
      <w:tabs>
        <w:tab w:val="center" w:pos="4513"/>
        <w:tab w:val="right" w:pos="9026"/>
      </w:tabs>
    </w:pPr>
  </w:style>
  <w:style w:type="character" w:customStyle="1" w:styleId="FooterChar">
    <w:name w:val="Footer Char"/>
    <w:basedOn w:val="DefaultParagraphFont"/>
    <w:link w:val="Footer"/>
    <w:uiPriority w:val="99"/>
    <w:rsid w:val="001326D2"/>
  </w:style>
  <w:style w:type="paragraph" w:styleId="FootnoteText">
    <w:name w:val="footnote text"/>
    <w:basedOn w:val="Normal"/>
    <w:link w:val="FootnoteTextChar"/>
    <w:uiPriority w:val="99"/>
    <w:unhideWhenUsed/>
    <w:rsid w:val="00740AB2"/>
    <w:pPr>
      <w:widowControl/>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740AB2"/>
    <w:rPr>
      <w:rFonts w:ascii="Arial" w:eastAsia="Times New Roman" w:hAnsi="Arial" w:cs="Times New Roman"/>
      <w:sz w:val="20"/>
      <w:szCs w:val="20"/>
      <w:lang w:val="en-GB"/>
    </w:rPr>
  </w:style>
  <w:style w:type="table" w:styleId="TableGrid">
    <w:name w:val="Table Grid"/>
    <w:basedOn w:val="TableNormal"/>
    <w:uiPriority w:val="39"/>
    <w:rsid w:val="00CC5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3E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E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3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7C37-54BD-4676-948A-1C47F2EB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Amy Ferraro, Governance Officer (SELEP)</cp:lastModifiedBy>
  <cp:revision>2</cp:revision>
  <cp:lastPrinted>2019-11-22T14:15:00Z</cp:lastPrinted>
  <dcterms:created xsi:type="dcterms:W3CDTF">2020-01-21T16:22:00Z</dcterms:created>
  <dcterms:modified xsi:type="dcterms:W3CDTF">2020-01-21T16:22:00Z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 for Office 365</vt:lpwstr>
  </property>
  <property fmtid="{D5CDD505-2E9C-101B-9397-08002B2CF9AE}" pid="4" name="LastSaved">
    <vt:filetime>2019-11-05T00:00:00Z</vt:filetime>
  </property>
  <property fmtid="{D5CDD505-2E9C-101B-9397-08002B2CF9AE}" pid="5" name="MSIP_Label_39d8be9e-c8d9-4b9c-bd40-2c27cc7ea2e6_Enabled">
    <vt:lpwstr>True</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Owner">
    <vt:lpwstr>stephanie.mitchener@essex.gov.uk</vt:lpwstr>
  </property>
  <property fmtid="{D5CDD505-2E9C-101B-9397-08002B2CF9AE}" pid="8" name="MSIP_Label_39d8be9e-c8d9-4b9c-bd40-2c27cc7ea2e6_SetDate">
    <vt:lpwstr>2019-11-21T14:11:59.8559934Z</vt:lpwstr>
  </property>
  <property fmtid="{D5CDD505-2E9C-101B-9397-08002B2CF9AE}" pid="9" name="MSIP_Label_39d8be9e-c8d9-4b9c-bd40-2c27cc7ea2e6_Name">
    <vt:lpwstr>Official</vt:lpwstr>
  </property>
  <property fmtid="{D5CDD505-2E9C-101B-9397-08002B2CF9AE}" pid="10" name="MSIP_Label_39d8be9e-c8d9-4b9c-bd40-2c27cc7ea2e6_Application">
    <vt:lpwstr>Microsoft Azure Information Protection</vt:lpwstr>
  </property>
  <property fmtid="{D5CDD505-2E9C-101B-9397-08002B2CF9AE}" pid="11" name="MSIP_Label_39d8be9e-c8d9-4b9c-bd40-2c27cc7ea2e6_ActionId">
    <vt:lpwstr>068a1e21-d4a6-4412-82c8-508161d46628</vt:lpwstr>
  </property>
  <property fmtid="{D5CDD505-2E9C-101B-9397-08002B2CF9AE}" pid="12" name="MSIP_Label_39d8be9e-c8d9-4b9c-bd40-2c27cc7ea2e6_Extended_MSFT_Method">
    <vt:lpwstr>Automatic</vt:lpwstr>
  </property>
  <property fmtid="{D5CDD505-2E9C-101B-9397-08002B2CF9AE}" pid="13" name="Sensitivity">
    <vt:lpwstr>Official</vt:lpwstr>
  </property>
</Properties>
</file>