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BBD84" w14:textId="77777777" w:rsidR="004C78EF" w:rsidRDefault="005557C1">
      <w:pPr>
        <w:spacing w:before="69"/>
        <w:ind w:left="240"/>
        <w:rPr>
          <w:b/>
          <w:sz w:val="24"/>
        </w:rPr>
      </w:pPr>
      <w:r>
        <w:rPr>
          <w:b/>
          <w:sz w:val="24"/>
        </w:rPr>
        <w:t>Publication of Decisions taken by ECC Officers</w:t>
      </w:r>
    </w:p>
    <w:p w14:paraId="0DFBBD85" w14:textId="77777777" w:rsidR="004C78EF" w:rsidRDefault="005557C1">
      <w:pPr>
        <w:pStyle w:val="BodyText"/>
        <w:spacing w:before="194"/>
      </w:pPr>
      <w:r>
        <w:t>11 August 2016</w:t>
      </w:r>
    </w:p>
    <w:p w14:paraId="0DFBBD86" w14:textId="77777777" w:rsidR="004C78EF" w:rsidRDefault="005557C1">
      <w:pPr>
        <w:pStyle w:val="BodyText"/>
        <w:spacing w:before="200"/>
      </w:pPr>
      <w:r>
        <w:t>The Council is required to publish most decisions taken by officers on its website.</w:t>
      </w:r>
    </w:p>
    <w:p w14:paraId="0DFBBD87" w14:textId="77777777" w:rsidR="004C78EF" w:rsidRDefault="005557C1">
      <w:pPr>
        <w:spacing w:before="199"/>
        <w:ind w:left="240"/>
        <w:rPr>
          <w:b/>
          <w:sz w:val="24"/>
        </w:rPr>
      </w:pPr>
      <w:r>
        <w:rPr>
          <w:b/>
          <w:sz w:val="24"/>
        </w:rPr>
        <w:t>Executive Director Decisions</w:t>
      </w:r>
    </w:p>
    <w:p w14:paraId="0DFBBD88" w14:textId="77777777" w:rsidR="004C78EF" w:rsidRDefault="005557C1">
      <w:pPr>
        <w:pStyle w:val="BodyText"/>
        <w:spacing w:before="2"/>
        <w:ind w:right="743"/>
      </w:pPr>
      <w:r>
        <w:t xml:space="preserve">Non-key decisions with financial implications with a value of between £500,000 and £2m </w:t>
      </w:r>
      <w:r>
        <w:rPr>
          <w:spacing w:val="-3"/>
        </w:rPr>
        <w:t xml:space="preserve">can </w:t>
      </w:r>
      <w:r>
        <w:t xml:space="preserve">only be taken by an Executive </w:t>
      </w:r>
      <w:r>
        <w:rPr>
          <w:spacing w:val="-4"/>
        </w:rPr>
        <w:t xml:space="preserve">Director. </w:t>
      </w:r>
      <w:r>
        <w:t xml:space="preserve">They must consider a written report with legal and financial advice and they must consult the Cabinet Member before taking a </w:t>
      </w:r>
      <w:r>
        <w:t>decision. The report and decision has to be published on the Council’s website. The report must be on the Council’s standard report template and needs legal and financial approval.</w:t>
      </w:r>
    </w:p>
    <w:p w14:paraId="0DFBBD89" w14:textId="77777777" w:rsidR="004C78EF" w:rsidRDefault="004C78EF">
      <w:pPr>
        <w:pStyle w:val="BodyText"/>
        <w:spacing w:before="4"/>
        <w:ind w:left="0"/>
      </w:pPr>
    </w:p>
    <w:p w14:paraId="0DFBBD8A" w14:textId="77777777" w:rsidR="004C78EF" w:rsidRDefault="005557C1">
      <w:pPr>
        <w:spacing w:line="275" w:lineRule="exact"/>
        <w:ind w:left="240"/>
        <w:jc w:val="both"/>
        <w:rPr>
          <w:b/>
          <w:sz w:val="24"/>
        </w:rPr>
      </w:pPr>
      <w:r>
        <w:rPr>
          <w:b/>
          <w:sz w:val="24"/>
        </w:rPr>
        <w:t>Other Officer Decisions</w:t>
      </w:r>
    </w:p>
    <w:p w14:paraId="0DFBBD8B" w14:textId="77777777" w:rsidR="004C78EF" w:rsidRDefault="005557C1">
      <w:pPr>
        <w:pStyle w:val="BodyText"/>
        <w:ind w:right="99"/>
        <w:jc w:val="both"/>
      </w:pPr>
      <w:r>
        <w:t>Non-key Decisions with financial implications of l</w:t>
      </w:r>
      <w:r>
        <w:t xml:space="preserve">ess than £500,000 can be taken by an Executive </w:t>
      </w:r>
      <w:r>
        <w:rPr>
          <w:spacing w:val="-5"/>
        </w:rPr>
        <w:t xml:space="preserve">Director. </w:t>
      </w:r>
      <w:r>
        <w:t xml:space="preserve">Executive </w:t>
      </w:r>
      <w:proofErr w:type="gramStart"/>
      <w:r>
        <w:t>Directors  have</w:t>
      </w:r>
      <w:proofErr w:type="gramEnd"/>
      <w:r>
        <w:rPr>
          <w:spacing w:val="-5"/>
        </w:rPr>
        <w:t xml:space="preserve"> </w:t>
      </w:r>
      <w:r>
        <w:t>authorised</w:t>
      </w:r>
      <w:r>
        <w:rPr>
          <w:spacing w:val="-9"/>
        </w:rPr>
        <w:t xml:space="preserve"> </w:t>
      </w:r>
      <w:r>
        <w:t>other</w:t>
      </w:r>
      <w:r>
        <w:rPr>
          <w:spacing w:val="-5"/>
        </w:rPr>
        <w:t xml:space="preserve"> </w:t>
      </w:r>
      <w:r>
        <w:t>officers</w:t>
      </w:r>
      <w:r>
        <w:rPr>
          <w:spacing w:val="-6"/>
        </w:rPr>
        <w:t xml:space="preserve"> </w:t>
      </w:r>
      <w:r>
        <w:t>to</w:t>
      </w:r>
      <w:r>
        <w:rPr>
          <w:spacing w:val="-10"/>
        </w:rPr>
        <w:t xml:space="preserve"> </w:t>
      </w:r>
      <w:r>
        <w:t>take</w:t>
      </w:r>
      <w:r>
        <w:rPr>
          <w:spacing w:val="-6"/>
        </w:rPr>
        <w:t xml:space="preserve"> </w:t>
      </w:r>
      <w:r>
        <w:t>decisions</w:t>
      </w:r>
      <w:r>
        <w:rPr>
          <w:spacing w:val="-1"/>
        </w:rPr>
        <w:t xml:space="preserve"> </w:t>
      </w:r>
      <w:r>
        <w:t>with</w:t>
      </w:r>
      <w:r>
        <w:rPr>
          <w:spacing w:val="-5"/>
        </w:rPr>
        <w:t xml:space="preserve"> </w:t>
      </w:r>
      <w:r>
        <w:t>a</w:t>
      </w:r>
      <w:r>
        <w:rPr>
          <w:spacing w:val="-6"/>
        </w:rPr>
        <w:t xml:space="preserve"> </w:t>
      </w:r>
      <w:r>
        <w:t>value</w:t>
      </w:r>
      <w:r>
        <w:rPr>
          <w:spacing w:val="-8"/>
        </w:rPr>
        <w:t xml:space="preserve"> </w:t>
      </w:r>
      <w:r>
        <w:t>of</w:t>
      </w:r>
      <w:r>
        <w:rPr>
          <w:spacing w:val="-6"/>
        </w:rPr>
        <w:t xml:space="preserve"> </w:t>
      </w:r>
      <w:r>
        <w:t>under</w:t>
      </w:r>
      <w:r>
        <w:rPr>
          <w:spacing w:val="-9"/>
        </w:rPr>
        <w:t xml:space="preserve"> </w:t>
      </w:r>
      <w:r>
        <w:t>£500,000.</w:t>
      </w:r>
      <w:r>
        <w:rPr>
          <w:spacing w:val="-4"/>
        </w:rPr>
        <w:t xml:space="preserve"> </w:t>
      </w:r>
      <w:r>
        <w:t>These</w:t>
      </w:r>
      <w:r>
        <w:rPr>
          <w:spacing w:val="-5"/>
        </w:rPr>
        <w:t xml:space="preserve"> </w:t>
      </w:r>
      <w:r>
        <w:t>delegations</w:t>
      </w:r>
      <w:r>
        <w:rPr>
          <w:spacing w:val="-5"/>
        </w:rPr>
        <w:t xml:space="preserve"> </w:t>
      </w:r>
      <w:r>
        <w:t>are</w:t>
      </w:r>
      <w:r>
        <w:rPr>
          <w:spacing w:val="-5"/>
        </w:rPr>
        <w:t xml:space="preserve"> </w:t>
      </w:r>
      <w:r>
        <w:t>set</w:t>
      </w:r>
      <w:r>
        <w:rPr>
          <w:spacing w:val="-6"/>
        </w:rPr>
        <w:t xml:space="preserve"> </w:t>
      </w:r>
      <w:r>
        <w:t>out</w:t>
      </w:r>
      <w:r>
        <w:rPr>
          <w:spacing w:val="-6"/>
        </w:rPr>
        <w:t xml:space="preserve"> </w:t>
      </w:r>
      <w:r>
        <w:t>in</w:t>
      </w:r>
      <w:r>
        <w:rPr>
          <w:spacing w:val="-6"/>
        </w:rPr>
        <w:t xml:space="preserve"> </w:t>
      </w:r>
      <w:r>
        <w:t>a</w:t>
      </w:r>
      <w:r>
        <w:rPr>
          <w:spacing w:val="-10"/>
        </w:rPr>
        <w:t xml:space="preserve"> </w:t>
      </w:r>
      <w:r>
        <w:t>list</w:t>
      </w:r>
      <w:r>
        <w:rPr>
          <w:spacing w:val="36"/>
        </w:rPr>
        <w:t xml:space="preserve"> </w:t>
      </w:r>
      <w:r>
        <w:t>maintained</w:t>
      </w:r>
      <w:r>
        <w:rPr>
          <w:spacing w:val="-4"/>
        </w:rPr>
        <w:t xml:space="preserve"> </w:t>
      </w:r>
      <w:r>
        <w:t xml:space="preserve">by the Monitoring </w:t>
      </w:r>
      <w:r>
        <w:rPr>
          <w:spacing w:val="-5"/>
        </w:rPr>
        <w:t xml:space="preserve">Officer. </w:t>
      </w:r>
      <w:r>
        <w:t xml:space="preserve">Decisions must </w:t>
      </w:r>
      <w:proofErr w:type="spellStart"/>
      <w:r>
        <w:t>bepu</w:t>
      </w:r>
      <w:r>
        <w:t>blished</w:t>
      </w:r>
      <w:proofErr w:type="spellEnd"/>
      <w:r>
        <w:t>.</w:t>
      </w:r>
    </w:p>
    <w:p w14:paraId="0DFBBD8C" w14:textId="77777777" w:rsidR="004C78EF" w:rsidRDefault="004C78EF">
      <w:pPr>
        <w:pStyle w:val="BodyText"/>
        <w:ind w:left="0"/>
        <w:rPr>
          <w:sz w:val="26"/>
        </w:rPr>
      </w:pPr>
    </w:p>
    <w:p w14:paraId="0DFBBD8D" w14:textId="77777777" w:rsidR="004C78EF" w:rsidRDefault="005557C1">
      <w:pPr>
        <w:pStyle w:val="BodyText"/>
        <w:spacing w:before="173"/>
        <w:ind w:right="99"/>
        <w:jc w:val="both"/>
      </w:pPr>
      <w:r>
        <w:t xml:space="preserve">Accordingly, each function needs have in place appropriate arrangements for the recording of officer decisions made in their areas. This is a significant task so to make matters more manageable we have agreed a set of parameters to help officers </w:t>
      </w:r>
      <w:r>
        <w:t>decide which decisions will need to be captured by these rules. There are no exemptions in law but these rules are designed to help officers implement what would otherwise be an even more burdensome task. Accordingly, a record will need to be kept of the f</w:t>
      </w:r>
      <w:r>
        <w:t>ollowing decisions as a minimum:</w:t>
      </w:r>
    </w:p>
    <w:p w14:paraId="0DFBBD8E" w14:textId="77777777" w:rsidR="004C78EF" w:rsidRDefault="005557C1">
      <w:pPr>
        <w:pStyle w:val="ListParagraph"/>
        <w:numPr>
          <w:ilvl w:val="0"/>
          <w:numId w:val="2"/>
        </w:numPr>
        <w:tabs>
          <w:tab w:val="left" w:pos="961"/>
        </w:tabs>
        <w:spacing w:before="200"/>
        <w:ind w:hanging="361"/>
        <w:rPr>
          <w:sz w:val="24"/>
        </w:rPr>
      </w:pPr>
      <w:r>
        <w:rPr>
          <w:sz w:val="24"/>
        </w:rPr>
        <w:t>A decision relating to expenditure above £50k in aggregate in either revenue or</w:t>
      </w:r>
      <w:r>
        <w:rPr>
          <w:spacing w:val="-19"/>
          <w:sz w:val="24"/>
        </w:rPr>
        <w:t xml:space="preserve"> </w:t>
      </w:r>
      <w:r>
        <w:rPr>
          <w:sz w:val="24"/>
        </w:rPr>
        <w:t>capital.</w:t>
      </w:r>
    </w:p>
    <w:p w14:paraId="0DFBBD8F" w14:textId="77777777" w:rsidR="004C78EF" w:rsidRDefault="004C78EF">
      <w:pPr>
        <w:pStyle w:val="BodyText"/>
        <w:spacing w:before="5"/>
        <w:ind w:left="0"/>
      </w:pPr>
    </w:p>
    <w:p w14:paraId="0DFBBD90" w14:textId="77777777" w:rsidR="004C78EF" w:rsidRDefault="005557C1">
      <w:pPr>
        <w:pStyle w:val="ListParagraph"/>
        <w:numPr>
          <w:ilvl w:val="0"/>
          <w:numId w:val="2"/>
        </w:numPr>
        <w:tabs>
          <w:tab w:val="left" w:pos="961"/>
        </w:tabs>
        <w:ind w:hanging="361"/>
        <w:rPr>
          <w:sz w:val="24"/>
        </w:rPr>
      </w:pPr>
      <w:r>
        <w:rPr>
          <w:sz w:val="24"/>
        </w:rPr>
        <w:t>A decision to make a statutory order or issue a statutory</w:t>
      </w:r>
      <w:r>
        <w:rPr>
          <w:spacing w:val="-16"/>
          <w:sz w:val="24"/>
        </w:rPr>
        <w:t xml:space="preserve"> </w:t>
      </w:r>
      <w:r>
        <w:rPr>
          <w:sz w:val="24"/>
        </w:rPr>
        <w:t>notice.</w:t>
      </w:r>
    </w:p>
    <w:p w14:paraId="0DFBBD91" w14:textId="77777777" w:rsidR="004C78EF" w:rsidRDefault="004C78EF">
      <w:pPr>
        <w:pStyle w:val="BodyText"/>
        <w:ind w:left="0"/>
      </w:pPr>
    </w:p>
    <w:p w14:paraId="0DFBBD92" w14:textId="77777777" w:rsidR="004C78EF" w:rsidRDefault="005557C1">
      <w:pPr>
        <w:pStyle w:val="ListParagraph"/>
        <w:numPr>
          <w:ilvl w:val="0"/>
          <w:numId w:val="2"/>
        </w:numPr>
        <w:tabs>
          <w:tab w:val="left" w:pos="961"/>
        </w:tabs>
        <w:ind w:hanging="361"/>
        <w:rPr>
          <w:sz w:val="24"/>
        </w:rPr>
      </w:pPr>
      <w:r>
        <w:rPr>
          <w:sz w:val="24"/>
        </w:rPr>
        <w:t>A decision to enter into a contract or legal</w:t>
      </w:r>
      <w:r>
        <w:rPr>
          <w:spacing w:val="-13"/>
          <w:sz w:val="24"/>
        </w:rPr>
        <w:t xml:space="preserve"> </w:t>
      </w:r>
      <w:r>
        <w:rPr>
          <w:sz w:val="24"/>
        </w:rPr>
        <w:t>agreement.</w:t>
      </w:r>
    </w:p>
    <w:p w14:paraId="0DFBBD93" w14:textId="77777777" w:rsidR="004C78EF" w:rsidRDefault="004C78EF">
      <w:pPr>
        <w:pStyle w:val="BodyText"/>
        <w:spacing w:before="1"/>
        <w:ind w:left="0"/>
      </w:pPr>
    </w:p>
    <w:p w14:paraId="0DFBBD94" w14:textId="77777777" w:rsidR="004C78EF" w:rsidRDefault="005557C1">
      <w:pPr>
        <w:pStyle w:val="ListParagraph"/>
        <w:numPr>
          <w:ilvl w:val="0"/>
          <w:numId w:val="2"/>
        </w:numPr>
        <w:tabs>
          <w:tab w:val="left" w:pos="961"/>
        </w:tabs>
        <w:ind w:hanging="361"/>
        <w:rPr>
          <w:sz w:val="24"/>
        </w:rPr>
      </w:pPr>
      <w:r>
        <w:rPr>
          <w:sz w:val="24"/>
        </w:rPr>
        <w:t>A non-key decision to close or significantly reduce levels of service at a public facing service or</w:t>
      </w:r>
      <w:r>
        <w:rPr>
          <w:spacing w:val="-27"/>
          <w:sz w:val="24"/>
        </w:rPr>
        <w:t xml:space="preserve"> </w:t>
      </w:r>
      <w:r>
        <w:rPr>
          <w:sz w:val="24"/>
        </w:rPr>
        <w:t>facility.</w:t>
      </w:r>
    </w:p>
    <w:p w14:paraId="0DFBBD95" w14:textId="77777777" w:rsidR="004C78EF" w:rsidRDefault="004C78EF">
      <w:pPr>
        <w:pStyle w:val="BodyText"/>
        <w:ind w:left="0"/>
      </w:pPr>
    </w:p>
    <w:p w14:paraId="0DFBBD96" w14:textId="77777777" w:rsidR="004C78EF" w:rsidRDefault="005557C1">
      <w:pPr>
        <w:pStyle w:val="ListParagraph"/>
        <w:numPr>
          <w:ilvl w:val="0"/>
          <w:numId w:val="2"/>
        </w:numPr>
        <w:tabs>
          <w:tab w:val="left" w:pos="961"/>
        </w:tabs>
        <w:ind w:hanging="361"/>
        <w:rPr>
          <w:sz w:val="24"/>
        </w:rPr>
      </w:pPr>
      <w:r>
        <w:rPr>
          <w:sz w:val="24"/>
        </w:rPr>
        <w:t>A decision to open a new service or facility or to significantly increase the level of</w:t>
      </w:r>
      <w:r>
        <w:rPr>
          <w:spacing w:val="2"/>
          <w:sz w:val="24"/>
        </w:rPr>
        <w:t xml:space="preserve"> </w:t>
      </w:r>
      <w:proofErr w:type="spellStart"/>
      <w:r>
        <w:rPr>
          <w:sz w:val="24"/>
        </w:rPr>
        <w:t>serviceoffered</w:t>
      </w:r>
      <w:proofErr w:type="spellEnd"/>
      <w:r>
        <w:rPr>
          <w:sz w:val="24"/>
        </w:rPr>
        <w:t>.</w:t>
      </w:r>
    </w:p>
    <w:p w14:paraId="0DFBBD97" w14:textId="77777777" w:rsidR="004C78EF" w:rsidRDefault="004C78EF">
      <w:pPr>
        <w:rPr>
          <w:sz w:val="24"/>
        </w:rPr>
        <w:sectPr w:rsidR="004C78EF">
          <w:type w:val="continuous"/>
          <w:pgSz w:w="16850" w:h="11920" w:orient="landscape"/>
          <w:pgMar w:top="960" w:right="1320" w:bottom="280" w:left="1200" w:header="720" w:footer="720" w:gutter="0"/>
          <w:cols w:space="720"/>
        </w:sectPr>
      </w:pPr>
    </w:p>
    <w:p w14:paraId="0DFBBD98" w14:textId="77777777" w:rsidR="004C78EF" w:rsidRDefault="005557C1">
      <w:pPr>
        <w:pStyle w:val="ListParagraph"/>
        <w:numPr>
          <w:ilvl w:val="0"/>
          <w:numId w:val="2"/>
        </w:numPr>
        <w:tabs>
          <w:tab w:val="left" w:pos="961"/>
        </w:tabs>
        <w:spacing w:before="69" w:line="242" w:lineRule="auto"/>
        <w:ind w:right="229"/>
        <w:rPr>
          <w:sz w:val="24"/>
        </w:rPr>
      </w:pPr>
      <w:r>
        <w:rPr>
          <w:sz w:val="24"/>
        </w:rPr>
        <w:lastRenderedPageBreak/>
        <w:t>A</w:t>
      </w:r>
      <w:r>
        <w:rPr>
          <w:spacing w:val="-4"/>
          <w:sz w:val="24"/>
        </w:rPr>
        <w:t xml:space="preserve"> </w:t>
      </w:r>
      <w:r>
        <w:rPr>
          <w:sz w:val="24"/>
        </w:rPr>
        <w:t>decision</w:t>
      </w:r>
      <w:r>
        <w:rPr>
          <w:spacing w:val="1"/>
          <w:sz w:val="24"/>
        </w:rPr>
        <w:t xml:space="preserve"> </w:t>
      </w:r>
      <w:r>
        <w:rPr>
          <w:sz w:val="24"/>
        </w:rPr>
        <w:t>to</w:t>
      </w:r>
      <w:r>
        <w:rPr>
          <w:spacing w:val="-6"/>
          <w:sz w:val="24"/>
        </w:rPr>
        <w:t xml:space="preserve"> </w:t>
      </w:r>
      <w:r>
        <w:rPr>
          <w:sz w:val="24"/>
        </w:rPr>
        <w:t>go</w:t>
      </w:r>
      <w:r>
        <w:rPr>
          <w:spacing w:val="-5"/>
          <w:sz w:val="24"/>
        </w:rPr>
        <w:t xml:space="preserve"> </w:t>
      </w:r>
      <w:r>
        <w:rPr>
          <w:sz w:val="24"/>
        </w:rPr>
        <w:t>out</w:t>
      </w:r>
      <w:r>
        <w:rPr>
          <w:spacing w:val="-1"/>
          <w:sz w:val="24"/>
        </w:rPr>
        <w:t xml:space="preserve"> </w:t>
      </w:r>
      <w:r>
        <w:rPr>
          <w:sz w:val="24"/>
        </w:rPr>
        <w:t>to</w:t>
      </w:r>
      <w:r>
        <w:rPr>
          <w:spacing w:val="-5"/>
          <w:sz w:val="24"/>
        </w:rPr>
        <w:t xml:space="preserve"> </w:t>
      </w:r>
      <w:r>
        <w:rPr>
          <w:sz w:val="24"/>
        </w:rPr>
        <w:t>tender</w:t>
      </w:r>
      <w:r>
        <w:rPr>
          <w:spacing w:val="-4"/>
          <w:sz w:val="24"/>
        </w:rPr>
        <w:t xml:space="preserve"> </w:t>
      </w:r>
      <w:r>
        <w:rPr>
          <w:sz w:val="24"/>
        </w:rPr>
        <w:t>for</w:t>
      </w:r>
      <w:r>
        <w:rPr>
          <w:spacing w:val="-3"/>
          <w:sz w:val="24"/>
        </w:rPr>
        <w:t xml:space="preserve"> </w:t>
      </w:r>
      <w:r>
        <w:rPr>
          <w:sz w:val="24"/>
        </w:rPr>
        <w:t>a particular</w:t>
      </w:r>
      <w:r>
        <w:rPr>
          <w:spacing w:val="-4"/>
          <w:sz w:val="24"/>
        </w:rPr>
        <w:t xml:space="preserve"> </w:t>
      </w:r>
      <w:r>
        <w:rPr>
          <w:sz w:val="24"/>
        </w:rPr>
        <w:t>service,</w:t>
      </w:r>
      <w:r>
        <w:rPr>
          <w:spacing w:val="1"/>
          <w:sz w:val="24"/>
        </w:rPr>
        <w:t xml:space="preserve"> </w:t>
      </w:r>
      <w:r>
        <w:rPr>
          <w:sz w:val="24"/>
        </w:rPr>
        <w:t>product</w:t>
      </w:r>
      <w:r>
        <w:rPr>
          <w:spacing w:val="-5"/>
          <w:sz w:val="24"/>
        </w:rPr>
        <w:t xml:space="preserve"> </w:t>
      </w:r>
      <w:r>
        <w:rPr>
          <w:sz w:val="24"/>
        </w:rPr>
        <w:t>or</w:t>
      </w:r>
      <w:r>
        <w:rPr>
          <w:spacing w:val="1"/>
          <w:sz w:val="24"/>
        </w:rPr>
        <w:t xml:space="preserve"> </w:t>
      </w:r>
      <w:r>
        <w:rPr>
          <w:sz w:val="24"/>
        </w:rPr>
        <w:t>set</w:t>
      </w:r>
      <w:r>
        <w:rPr>
          <w:spacing w:val="-6"/>
          <w:sz w:val="24"/>
        </w:rPr>
        <w:t xml:space="preserve"> </w:t>
      </w:r>
      <w:r>
        <w:rPr>
          <w:sz w:val="24"/>
        </w:rPr>
        <w:t>of</w:t>
      </w:r>
      <w:r>
        <w:rPr>
          <w:spacing w:val="-5"/>
          <w:sz w:val="24"/>
        </w:rPr>
        <w:t xml:space="preserve"> </w:t>
      </w:r>
      <w:r>
        <w:rPr>
          <w:sz w:val="24"/>
        </w:rPr>
        <w:t>works</w:t>
      </w:r>
      <w:r>
        <w:rPr>
          <w:spacing w:val="-7"/>
          <w:sz w:val="24"/>
        </w:rPr>
        <w:t xml:space="preserve"> </w:t>
      </w:r>
      <w:r>
        <w:rPr>
          <w:sz w:val="24"/>
        </w:rPr>
        <w:t>or</w:t>
      </w:r>
      <w:r>
        <w:rPr>
          <w:spacing w:val="1"/>
          <w:sz w:val="24"/>
        </w:rPr>
        <w:t xml:space="preserve"> </w:t>
      </w:r>
      <w:r>
        <w:rPr>
          <w:spacing w:val="-3"/>
          <w:sz w:val="24"/>
        </w:rPr>
        <w:t>to</w:t>
      </w:r>
      <w:r>
        <w:rPr>
          <w:spacing w:val="-1"/>
          <w:sz w:val="24"/>
        </w:rPr>
        <w:t xml:space="preserve"> </w:t>
      </w:r>
      <w:r>
        <w:rPr>
          <w:sz w:val="24"/>
        </w:rPr>
        <w:t>award a</w:t>
      </w:r>
      <w:r>
        <w:rPr>
          <w:spacing w:val="-5"/>
          <w:sz w:val="24"/>
        </w:rPr>
        <w:t xml:space="preserve"> </w:t>
      </w:r>
      <w:r>
        <w:rPr>
          <w:sz w:val="24"/>
        </w:rPr>
        <w:t>contract</w:t>
      </w:r>
      <w:r>
        <w:rPr>
          <w:spacing w:val="-5"/>
          <w:sz w:val="24"/>
        </w:rPr>
        <w:t xml:space="preserve"> </w:t>
      </w:r>
      <w:r>
        <w:rPr>
          <w:sz w:val="24"/>
        </w:rPr>
        <w:t>therefor</w:t>
      </w:r>
      <w:r>
        <w:rPr>
          <w:spacing w:val="2"/>
          <w:sz w:val="24"/>
        </w:rPr>
        <w:t xml:space="preserve"> </w:t>
      </w:r>
      <w:r>
        <w:rPr>
          <w:sz w:val="24"/>
        </w:rPr>
        <w:t>or</w:t>
      </w:r>
      <w:r>
        <w:rPr>
          <w:spacing w:val="-10"/>
          <w:sz w:val="24"/>
        </w:rPr>
        <w:t xml:space="preserve"> </w:t>
      </w:r>
      <w:r>
        <w:rPr>
          <w:sz w:val="24"/>
        </w:rPr>
        <w:t>to terminate</w:t>
      </w:r>
      <w:r>
        <w:rPr>
          <w:spacing w:val="-37"/>
          <w:sz w:val="24"/>
        </w:rPr>
        <w:t xml:space="preserve"> </w:t>
      </w:r>
      <w:r>
        <w:rPr>
          <w:sz w:val="24"/>
        </w:rPr>
        <w:t>a contr</w:t>
      </w:r>
      <w:r>
        <w:rPr>
          <w:sz w:val="24"/>
        </w:rPr>
        <w:t>act.</w:t>
      </w:r>
    </w:p>
    <w:p w14:paraId="0DFBBD99" w14:textId="77777777" w:rsidR="004C78EF" w:rsidRDefault="004C78EF">
      <w:pPr>
        <w:pStyle w:val="BodyText"/>
        <w:spacing w:before="11"/>
        <w:ind w:left="0"/>
        <w:rPr>
          <w:sz w:val="23"/>
        </w:rPr>
      </w:pPr>
    </w:p>
    <w:p w14:paraId="0DFBBD9A" w14:textId="77777777" w:rsidR="004C78EF" w:rsidRDefault="005557C1">
      <w:pPr>
        <w:pStyle w:val="ListParagraph"/>
        <w:numPr>
          <w:ilvl w:val="0"/>
          <w:numId w:val="2"/>
        </w:numPr>
        <w:tabs>
          <w:tab w:val="left" w:pos="961"/>
        </w:tabs>
        <w:spacing w:line="237" w:lineRule="auto"/>
        <w:ind w:right="355"/>
        <w:rPr>
          <w:sz w:val="24"/>
        </w:rPr>
      </w:pPr>
      <w:r>
        <w:rPr>
          <w:sz w:val="24"/>
        </w:rPr>
        <w:t xml:space="preserve">A decision to enter into any type of agreement relating to land or buildings such as a license, </w:t>
      </w:r>
      <w:proofErr w:type="gramStart"/>
      <w:r>
        <w:rPr>
          <w:sz w:val="24"/>
        </w:rPr>
        <w:t>lease</w:t>
      </w:r>
      <w:proofErr w:type="gramEnd"/>
      <w:r>
        <w:rPr>
          <w:sz w:val="24"/>
        </w:rPr>
        <w:t xml:space="preserve"> or easement or to enter any land or building on any sort of register which might affect its use or</w:t>
      </w:r>
      <w:r>
        <w:rPr>
          <w:spacing w:val="-13"/>
          <w:sz w:val="24"/>
        </w:rPr>
        <w:t xml:space="preserve"> </w:t>
      </w:r>
      <w:r>
        <w:rPr>
          <w:sz w:val="24"/>
        </w:rPr>
        <w:t>value.</w:t>
      </w:r>
    </w:p>
    <w:p w14:paraId="0DFBBD9B" w14:textId="77777777" w:rsidR="004C78EF" w:rsidRDefault="004C78EF">
      <w:pPr>
        <w:pStyle w:val="BodyText"/>
        <w:spacing w:before="1"/>
        <w:ind w:left="0"/>
      </w:pPr>
    </w:p>
    <w:p w14:paraId="0DFBBD9C" w14:textId="77777777" w:rsidR="004C78EF" w:rsidRDefault="005557C1">
      <w:pPr>
        <w:pStyle w:val="ListParagraph"/>
        <w:numPr>
          <w:ilvl w:val="0"/>
          <w:numId w:val="2"/>
        </w:numPr>
        <w:tabs>
          <w:tab w:val="left" w:pos="961"/>
        </w:tabs>
        <w:spacing w:line="412" w:lineRule="auto"/>
        <w:ind w:left="240" w:right="5891" w:firstLine="360"/>
        <w:rPr>
          <w:sz w:val="24"/>
        </w:rPr>
      </w:pPr>
      <w:r>
        <w:rPr>
          <w:sz w:val="24"/>
        </w:rPr>
        <w:t>A decision to issue legal proceedings or decide a court settlement. The</w:t>
      </w:r>
      <w:r>
        <w:rPr>
          <w:spacing w:val="-2"/>
          <w:sz w:val="24"/>
        </w:rPr>
        <w:t xml:space="preserve"> </w:t>
      </w:r>
      <w:r>
        <w:rPr>
          <w:sz w:val="24"/>
        </w:rPr>
        <w:t>record</w:t>
      </w:r>
      <w:r>
        <w:rPr>
          <w:spacing w:val="-5"/>
          <w:sz w:val="24"/>
        </w:rPr>
        <w:t xml:space="preserve"> </w:t>
      </w:r>
      <w:r>
        <w:rPr>
          <w:sz w:val="24"/>
        </w:rPr>
        <w:t>must</w:t>
      </w:r>
      <w:r>
        <w:rPr>
          <w:spacing w:val="-1"/>
          <w:sz w:val="24"/>
        </w:rPr>
        <w:t xml:space="preserve"> </w:t>
      </w:r>
      <w:r>
        <w:rPr>
          <w:sz w:val="24"/>
        </w:rPr>
        <w:t>be</w:t>
      </w:r>
      <w:r>
        <w:rPr>
          <w:spacing w:val="-1"/>
          <w:sz w:val="24"/>
        </w:rPr>
        <w:t xml:space="preserve"> </w:t>
      </w:r>
      <w:r>
        <w:rPr>
          <w:sz w:val="24"/>
        </w:rPr>
        <w:t>kept</w:t>
      </w:r>
      <w:r>
        <w:rPr>
          <w:spacing w:val="-2"/>
          <w:sz w:val="24"/>
        </w:rPr>
        <w:t xml:space="preserve"> </w:t>
      </w:r>
      <w:r>
        <w:rPr>
          <w:sz w:val="24"/>
        </w:rPr>
        <w:t>in</w:t>
      </w:r>
      <w:r>
        <w:rPr>
          <w:spacing w:val="-5"/>
          <w:sz w:val="24"/>
        </w:rPr>
        <w:t xml:space="preserve"> </w:t>
      </w:r>
      <w:r>
        <w:rPr>
          <w:sz w:val="24"/>
        </w:rPr>
        <w:t>the</w:t>
      </w:r>
      <w:r>
        <w:rPr>
          <w:spacing w:val="5"/>
          <w:sz w:val="24"/>
        </w:rPr>
        <w:t xml:space="preserve"> </w:t>
      </w:r>
      <w:r>
        <w:rPr>
          <w:sz w:val="24"/>
        </w:rPr>
        <w:t>following</w:t>
      </w:r>
      <w:r>
        <w:rPr>
          <w:spacing w:val="-1"/>
          <w:sz w:val="24"/>
        </w:rPr>
        <w:t xml:space="preserve"> </w:t>
      </w:r>
      <w:r>
        <w:rPr>
          <w:sz w:val="24"/>
        </w:rPr>
        <w:t>form</w:t>
      </w:r>
      <w:r>
        <w:rPr>
          <w:spacing w:val="-5"/>
          <w:sz w:val="24"/>
        </w:rPr>
        <w:t xml:space="preserve"> </w:t>
      </w:r>
      <w:r>
        <w:rPr>
          <w:sz w:val="24"/>
        </w:rPr>
        <w:t>set</w:t>
      </w:r>
      <w:r>
        <w:rPr>
          <w:spacing w:val="-1"/>
          <w:sz w:val="24"/>
        </w:rPr>
        <w:t xml:space="preserve"> </w:t>
      </w:r>
      <w:r>
        <w:rPr>
          <w:sz w:val="24"/>
        </w:rPr>
        <w:t>out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Appendix</w:t>
      </w:r>
      <w:r>
        <w:rPr>
          <w:spacing w:val="-43"/>
          <w:sz w:val="24"/>
        </w:rPr>
        <w:t xml:space="preserve"> </w:t>
      </w:r>
      <w:r>
        <w:rPr>
          <w:sz w:val="24"/>
        </w:rPr>
        <w:t>(below).</w:t>
      </w:r>
    </w:p>
    <w:p w14:paraId="0DFBBD9D" w14:textId="77777777" w:rsidR="004C78EF" w:rsidRDefault="005557C1">
      <w:pPr>
        <w:pStyle w:val="BodyText"/>
        <w:spacing w:before="1" w:line="242" w:lineRule="auto"/>
        <w:ind w:right="201"/>
        <w:jc w:val="both"/>
      </w:pPr>
      <w:r>
        <w:t xml:space="preserve">The record should be kept by each Executive Support Officer on behalf of their Executive Director’s function </w:t>
      </w:r>
      <w:r>
        <w:t>and should include decisions made by officers within the function including Directors, Heads of Service and other Managers.</w:t>
      </w:r>
    </w:p>
    <w:p w14:paraId="0DFBBD9E" w14:textId="77777777" w:rsidR="004C78EF" w:rsidRDefault="005557C1">
      <w:pPr>
        <w:pStyle w:val="BodyText"/>
        <w:spacing w:before="197" w:line="242" w:lineRule="auto"/>
        <w:ind w:right="167"/>
        <w:jc w:val="both"/>
      </w:pPr>
      <w:r>
        <w:t xml:space="preserve">The record itself should be sent </w:t>
      </w:r>
      <w:r>
        <w:rPr>
          <w:spacing w:val="-3"/>
        </w:rPr>
        <w:t xml:space="preserve">to </w:t>
      </w:r>
      <w:r>
        <w:t>Democratic Services periodically so they can be loaded onto the Council’s website. The record(s)</w:t>
      </w:r>
      <w:r>
        <w:t xml:space="preserve"> should be sent to:</w:t>
      </w:r>
    </w:p>
    <w:p w14:paraId="0DFBBD9F" w14:textId="77777777" w:rsidR="004C78EF" w:rsidRDefault="005557C1">
      <w:pPr>
        <w:pStyle w:val="BodyText"/>
        <w:spacing w:before="191"/>
      </w:pPr>
      <w:hyperlink r:id="rId8">
        <w:r>
          <w:rPr>
            <w:color w:val="0000FF"/>
            <w:u w:val="single" w:color="0000FF"/>
          </w:rPr>
          <w:t>Executive.Decisions@essex.gov.uk</w:t>
        </w:r>
      </w:hyperlink>
    </w:p>
    <w:p w14:paraId="0DFBBDA0" w14:textId="77777777" w:rsidR="004C78EF" w:rsidRDefault="005557C1">
      <w:pPr>
        <w:pStyle w:val="BodyText"/>
        <w:spacing w:before="200"/>
        <w:ind w:right="100"/>
        <w:jc w:val="both"/>
      </w:pPr>
      <w:r>
        <w:t xml:space="preserve">This is the only corporate requirement for recording decisions taken by officers below £500k. There is no corporate </w:t>
      </w:r>
      <w:proofErr w:type="spellStart"/>
      <w:r>
        <w:t>requireme</w:t>
      </w:r>
      <w:proofErr w:type="spellEnd"/>
      <w:r>
        <w:t xml:space="preserve"> </w:t>
      </w:r>
      <w:proofErr w:type="spellStart"/>
      <w:r>
        <w:t>nt</w:t>
      </w:r>
      <w:proofErr w:type="spellEnd"/>
      <w:r>
        <w:t xml:space="preserve"> for a detailed report for these decisions. However, if the decision is controversial or sensitive then it would be good practic</w:t>
      </w:r>
      <w:r>
        <w:t xml:space="preserve">e to record the decision and the reasons behind it in </w:t>
      </w:r>
      <w:proofErr w:type="spellStart"/>
      <w:r>
        <w:t>moredetail</w:t>
      </w:r>
      <w:proofErr w:type="spellEnd"/>
      <w:r>
        <w:t>.</w:t>
      </w:r>
    </w:p>
    <w:p w14:paraId="0DFBBDA1" w14:textId="77777777" w:rsidR="004C78EF" w:rsidRDefault="005557C1">
      <w:pPr>
        <w:pStyle w:val="BodyText"/>
        <w:spacing w:before="200" w:line="417" w:lineRule="auto"/>
        <w:ind w:right="3255"/>
        <w:jc w:val="both"/>
      </w:pPr>
      <w:r>
        <w:t>If</w:t>
      </w:r>
      <w:r>
        <w:rPr>
          <w:spacing w:val="-2"/>
        </w:rPr>
        <w:t xml:space="preserve"> </w:t>
      </w:r>
      <w:r>
        <w:t>there</w:t>
      </w:r>
      <w:r>
        <w:rPr>
          <w:spacing w:val="-5"/>
        </w:rPr>
        <w:t xml:space="preserve"> </w:t>
      </w:r>
      <w:r>
        <w:t>are</w:t>
      </w:r>
      <w:r>
        <w:rPr>
          <w:spacing w:val="-5"/>
        </w:rPr>
        <w:t xml:space="preserve"> </w:t>
      </w:r>
      <w:r>
        <w:t>any</w:t>
      </w:r>
      <w:r>
        <w:rPr>
          <w:spacing w:val="-2"/>
        </w:rPr>
        <w:t xml:space="preserve"> </w:t>
      </w:r>
      <w:r>
        <w:t>conflicts</w:t>
      </w:r>
      <w:r>
        <w:rPr>
          <w:spacing w:val="-6"/>
        </w:rPr>
        <w:t xml:space="preserve"> </w:t>
      </w:r>
      <w:r>
        <w:t>of</w:t>
      </w:r>
      <w:r>
        <w:rPr>
          <w:spacing w:val="-1"/>
        </w:rPr>
        <w:t xml:space="preserve"> </w:t>
      </w:r>
      <w:r>
        <w:t>interest,</w:t>
      </w:r>
      <w:r>
        <w:rPr>
          <w:spacing w:val="-2"/>
        </w:rPr>
        <w:t xml:space="preserve"> </w:t>
      </w:r>
      <w:r>
        <w:t>as</w:t>
      </w:r>
      <w:r>
        <w:rPr>
          <w:spacing w:val="-6"/>
        </w:rPr>
        <w:t xml:space="preserve"> </w:t>
      </w:r>
      <w:r>
        <w:t>required</w:t>
      </w:r>
      <w:r>
        <w:rPr>
          <w:spacing w:val="-1"/>
        </w:rPr>
        <w:t xml:space="preserve"> </w:t>
      </w:r>
      <w:r>
        <w:t>by</w:t>
      </w:r>
      <w:r>
        <w:rPr>
          <w:spacing w:val="-2"/>
        </w:rPr>
        <w:t xml:space="preserve"> </w:t>
      </w:r>
      <w:r>
        <w:t>the</w:t>
      </w:r>
      <w:r>
        <w:rPr>
          <w:spacing w:val="-1"/>
        </w:rPr>
        <w:t xml:space="preserve"> </w:t>
      </w:r>
      <w:r>
        <w:t>form,</w:t>
      </w:r>
      <w:r>
        <w:rPr>
          <w:spacing w:val="-5"/>
        </w:rPr>
        <w:t xml:space="preserve"> </w:t>
      </w:r>
      <w:r>
        <w:t>please</w:t>
      </w:r>
      <w:r>
        <w:rPr>
          <w:spacing w:val="-2"/>
        </w:rPr>
        <w:t xml:space="preserve"> </w:t>
      </w:r>
      <w:r>
        <w:t>consult</w:t>
      </w:r>
      <w:r>
        <w:rPr>
          <w:spacing w:val="-1"/>
        </w:rPr>
        <w:t xml:space="preserve"> </w:t>
      </w:r>
      <w:r>
        <w:t>with</w:t>
      </w:r>
      <w:r>
        <w:rPr>
          <w:spacing w:val="-1"/>
        </w:rPr>
        <w:t xml:space="preserve"> </w:t>
      </w:r>
      <w:r>
        <w:t>the</w:t>
      </w:r>
      <w:r>
        <w:rPr>
          <w:spacing w:val="-2"/>
        </w:rPr>
        <w:t xml:space="preserve"> </w:t>
      </w:r>
      <w:r>
        <w:t>Monitoring</w:t>
      </w:r>
      <w:r>
        <w:rPr>
          <w:spacing w:val="-20"/>
        </w:rPr>
        <w:t xml:space="preserve"> </w:t>
      </w:r>
      <w:r>
        <w:t>Officer. You</w:t>
      </w:r>
      <w:r>
        <w:rPr>
          <w:spacing w:val="-5"/>
        </w:rPr>
        <w:t xml:space="preserve"> </w:t>
      </w:r>
      <w:r>
        <w:t>do</w:t>
      </w:r>
      <w:r>
        <w:rPr>
          <w:spacing w:val="-9"/>
        </w:rPr>
        <w:t xml:space="preserve"> </w:t>
      </w:r>
      <w:r>
        <w:t>not</w:t>
      </w:r>
      <w:r>
        <w:rPr>
          <w:spacing w:val="-8"/>
        </w:rPr>
        <w:t xml:space="preserve"> </w:t>
      </w:r>
      <w:r>
        <w:t>need</w:t>
      </w:r>
      <w:r>
        <w:rPr>
          <w:spacing w:val="-9"/>
        </w:rPr>
        <w:t xml:space="preserve"> </w:t>
      </w:r>
      <w:r>
        <w:t>to</w:t>
      </w:r>
      <w:r>
        <w:rPr>
          <w:spacing w:val="-4"/>
        </w:rPr>
        <w:t xml:space="preserve"> </w:t>
      </w:r>
      <w:r>
        <w:t>include</w:t>
      </w:r>
      <w:r>
        <w:rPr>
          <w:spacing w:val="-8"/>
        </w:rPr>
        <w:t xml:space="preserve"> </w:t>
      </w:r>
      <w:r>
        <w:t>the</w:t>
      </w:r>
      <w:r>
        <w:rPr>
          <w:spacing w:val="-8"/>
        </w:rPr>
        <w:t xml:space="preserve"> </w:t>
      </w:r>
      <w:r>
        <w:t>following</w:t>
      </w:r>
      <w:r>
        <w:rPr>
          <w:spacing w:val="-7"/>
        </w:rPr>
        <w:t xml:space="preserve"> </w:t>
      </w:r>
      <w:r>
        <w:t>types</w:t>
      </w:r>
      <w:r>
        <w:rPr>
          <w:spacing w:val="-14"/>
        </w:rPr>
        <w:t xml:space="preserve"> </w:t>
      </w:r>
      <w:r>
        <w:t>of</w:t>
      </w:r>
      <w:r>
        <w:rPr>
          <w:spacing w:val="-9"/>
        </w:rPr>
        <w:t xml:space="preserve"> </w:t>
      </w:r>
      <w:r>
        <w:t>decision:</w:t>
      </w:r>
    </w:p>
    <w:p w14:paraId="0DFBBDA2" w14:textId="77777777" w:rsidR="004C78EF" w:rsidRDefault="005557C1">
      <w:pPr>
        <w:pStyle w:val="ListParagraph"/>
        <w:numPr>
          <w:ilvl w:val="0"/>
          <w:numId w:val="1"/>
        </w:numPr>
        <w:tabs>
          <w:tab w:val="left" w:pos="961"/>
        </w:tabs>
        <w:ind w:hanging="361"/>
        <w:jc w:val="both"/>
        <w:rPr>
          <w:sz w:val="24"/>
        </w:rPr>
      </w:pPr>
      <w:r>
        <w:rPr>
          <w:sz w:val="24"/>
        </w:rPr>
        <w:t xml:space="preserve">Administrative, </w:t>
      </w:r>
      <w:proofErr w:type="gramStart"/>
      <w:r>
        <w:rPr>
          <w:sz w:val="24"/>
        </w:rPr>
        <w:t>operational</w:t>
      </w:r>
      <w:proofErr w:type="gramEnd"/>
      <w:r>
        <w:rPr>
          <w:sz w:val="24"/>
        </w:rPr>
        <w:t xml:space="preserve"> and day-to-day</w:t>
      </w:r>
      <w:r>
        <w:rPr>
          <w:spacing w:val="-15"/>
          <w:sz w:val="24"/>
        </w:rPr>
        <w:t xml:space="preserve"> </w:t>
      </w:r>
      <w:r>
        <w:rPr>
          <w:sz w:val="24"/>
        </w:rPr>
        <w:t>matters.</w:t>
      </w:r>
    </w:p>
    <w:p w14:paraId="0DFBBDA3" w14:textId="77777777" w:rsidR="004C78EF" w:rsidRDefault="005557C1">
      <w:pPr>
        <w:pStyle w:val="ListParagraph"/>
        <w:numPr>
          <w:ilvl w:val="0"/>
          <w:numId w:val="1"/>
        </w:numPr>
        <w:tabs>
          <w:tab w:val="left" w:pos="961"/>
        </w:tabs>
        <w:spacing w:before="204"/>
        <w:ind w:hanging="361"/>
        <w:rPr>
          <w:sz w:val="24"/>
        </w:rPr>
      </w:pPr>
      <w:r>
        <w:rPr>
          <w:sz w:val="24"/>
        </w:rPr>
        <w:t>Decisions</w:t>
      </w:r>
      <w:r>
        <w:rPr>
          <w:spacing w:val="-1"/>
          <w:sz w:val="24"/>
        </w:rPr>
        <w:t xml:space="preserve"> </w:t>
      </w:r>
      <w:r>
        <w:rPr>
          <w:sz w:val="24"/>
        </w:rPr>
        <w:t>on</w:t>
      </w:r>
      <w:r>
        <w:rPr>
          <w:spacing w:val="-1"/>
          <w:sz w:val="24"/>
        </w:rPr>
        <w:t xml:space="preserve"> </w:t>
      </w:r>
      <w:r>
        <w:rPr>
          <w:sz w:val="24"/>
        </w:rPr>
        <w:t>individual care</w:t>
      </w:r>
      <w:r>
        <w:rPr>
          <w:spacing w:val="-4"/>
          <w:sz w:val="24"/>
        </w:rPr>
        <w:t xml:space="preserve"> </w:t>
      </w:r>
      <w:r>
        <w:rPr>
          <w:sz w:val="24"/>
        </w:rPr>
        <w:t>packages,</w:t>
      </w:r>
      <w:r>
        <w:rPr>
          <w:spacing w:val="-1"/>
          <w:sz w:val="24"/>
        </w:rPr>
        <w:t xml:space="preserve"> </w:t>
      </w:r>
      <w:r>
        <w:rPr>
          <w:sz w:val="24"/>
        </w:rPr>
        <w:t>where</w:t>
      </w:r>
      <w:r>
        <w:rPr>
          <w:spacing w:val="-4"/>
          <w:sz w:val="24"/>
        </w:rPr>
        <w:t xml:space="preserve"> </w:t>
      </w:r>
      <w:r>
        <w:rPr>
          <w:sz w:val="24"/>
        </w:rPr>
        <w:t>services</w:t>
      </w:r>
      <w:r>
        <w:rPr>
          <w:spacing w:val="-1"/>
          <w:sz w:val="24"/>
        </w:rPr>
        <w:t xml:space="preserve"> </w:t>
      </w:r>
      <w:r>
        <w:rPr>
          <w:sz w:val="24"/>
        </w:rPr>
        <w:t>are</w:t>
      </w:r>
      <w:r>
        <w:rPr>
          <w:spacing w:val="-1"/>
          <w:sz w:val="24"/>
        </w:rPr>
        <w:t xml:space="preserve"> </w:t>
      </w:r>
      <w:r>
        <w:rPr>
          <w:sz w:val="24"/>
        </w:rPr>
        <w:t>being</w:t>
      </w:r>
      <w:r>
        <w:rPr>
          <w:spacing w:val="-4"/>
          <w:sz w:val="24"/>
        </w:rPr>
        <w:t xml:space="preserve"> </w:t>
      </w:r>
      <w:r>
        <w:rPr>
          <w:sz w:val="24"/>
        </w:rPr>
        <w:t>selected</w:t>
      </w:r>
      <w:r>
        <w:rPr>
          <w:spacing w:val="-4"/>
          <w:sz w:val="24"/>
        </w:rPr>
        <w:t xml:space="preserve"> </w:t>
      </w:r>
      <w:r>
        <w:rPr>
          <w:sz w:val="24"/>
        </w:rPr>
        <w:t>from</w:t>
      </w:r>
      <w:r>
        <w:rPr>
          <w:spacing w:val="-5"/>
          <w:sz w:val="24"/>
        </w:rPr>
        <w:t xml:space="preserve"> </w:t>
      </w:r>
      <w:r>
        <w:rPr>
          <w:sz w:val="24"/>
        </w:rPr>
        <w:t>an existing</w:t>
      </w:r>
      <w:r>
        <w:rPr>
          <w:spacing w:val="-5"/>
          <w:sz w:val="24"/>
        </w:rPr>
        <w:t xml:space="preserve"> </w:t>
      </w:r>
      <w:r>
        <w:rPr>
          <w:sz w:val="24"/>
        </w:rPr>
        <w:t>contract or</w:t>
      </w:r>
      <w:r>
        <w:rPr>
          <w:spacing w:val="-34"/>
          <w:sz w:val="24"/>
        </w:rPr>
        <w:t xml:space="preserve"> </w:t>
      </w:r>
      <w:r>
        <w:rPr>
          <w:sz w:val="24"/>
        </w:rPr>
        <w:t>framework.</w:t>
      </w:r>
    </w:p>
    <w:p w14:paraId="0DFBBDA4" w14:textId="77777777" w:rsidR="004C78EF" w:rsidRDefault="005557C1">
      <w:pPr>
        <w:pStyle w:val="ListParagraph"/>
        <w:numPr>
          <w:ilvl w:val="0"/>
          <w:numId w:val="1"/>
        </w:numPr>
        <w:tabs>
          <w:tab w:val="left" w:pos="961"/>
        </w:tabs>
        <w:spacing w:before="2"/>
        <w:ind w:hanging="361"/>
        <w:rPr>
          <w:sz w:val="24"/>
        </w:rPr>
      </w:pPr>
      <w:r>
        <w:rPr>
          <w:sz w:val="24"/>
        </w:rPr>
        <w:t>Decisions relating to</w:t>
      </w:r>
      <w:r>
        <w:rPr>
          <w:spacing w:val="-7"/>
          <w:sz w:val="24"/>
        </w:rPr>
        <w:t xml:space="preserve"> </w:t>
      </w:r>
      <w:r>
        <w:rPr>
          <w:sz w:val="24"/>
        </w:rPr>
        <w:t>staffing.</w:t>
      </w:r>
    </w:p>
    <w:p w14:paraId="0DFBBDA5" w14:textId="77777777" w:rsidR="004C78EF" w:rsidRDefault="005557C1">
      <w:pPr>
        <w:pStyle w:val="ListParagraph"/>
        <w:numPr>
          <w:ilvl w:val="0"/>
          <w:numId w:val="1"/>
        </w:numPr>
        <w:tabs>
          <w:tab w:val="left" w:pos="961"/>
        </w:tabs>
        <w:spacing w:before="36"/>
        <w:ind w:hanging="361"/>
        <w:rPr>
          <w:sz w:val="24"/>
        </w:rPr>
      </w:pPr>
      <w:r>
        <w:rPr>
          <w:sz w:val="24"/>
        </w:rPr>
        <w:t>Decisions</w:t>
      </w:r>
      <w:r>
        <w:rPr>
          <w:spacing w:val="-6"/>
          <w:sz w:val="24"/>
        </w:rPr>
        <w:t xml:space="preserve"> </w:t>
      </w:r>
      <w:r>
        <w:rPr>
          <w:sz w:val="24"/>
        </w:rPr>
        <w:t>relating</w:t>
      </w:r>
      <w:r>
        <w:rPr>
          <w:spacing w:val="-5"/>
          <w:sz w:val="24"/>
        </w:rPr>
        <w:t xml:space="preserve"> </w:t>
      </w:r>
      <w:r>
        <w:rPr>
          <w:sz w:val="24"/>
        </w:rPr>
        <w:t>to</w:t>
      </w:r>
      <w:r>
        <w:rPr>
          <w:spacing w:val="-11"/>
          <w:sz w:val="24"/>
        </w:rPr>
        <w:t xml:space="preserve"> </w:t>
      </w:r>
      <w:r>
        <w:rPr>
          <w:sz w:val="24"/>
        </w:rPr>
        <w:t>planning consents</w:t>
      </w:r>
      <w:r>
        <w:rPr>
          <w:spacing w:val="-10"/>
          <w:sz w:val="24"/>
        </w:rPr>
        <w:t xml:space="preserve"> </w:t>
      </w:r>
      <w:r>
        <w:rPr>
          <w:sz w:val="24"/>
        </w:rPr>
        <w:t>or</w:t>
      </w:r>
      <w:r>
        <w:rPr>
          <w:spacing w:val="-5"/>
          <w:sz w:val="24"/>
        </w:rPr>
        <w:t xml:space="preserve"> </w:t>
      </w:r>
      <w:r>
        <w:rPr>
          <w:sz w:val="24"/>
        </w:rPr>
        <w:t>licenses</w:t>
      </w:r>
      <w:r>
        <w:rPr>
          <w:spacing w:val="-6"/>
          <w:sz w:val="24"/>
        </w:rPr>
        <w:t xml:space="preserve"> </w:t>
      </w:r>
      <w:r>
        <w:rPr>
          <w:sz w:val="24"/>
        </w:rPr>
        <w:t>granted</w:t>
      </w:r>
      <w:r>
        <w:rPr>
          <w:spacing w:val="-10"/>
          <w:sz w:val="24"/>
        </w:rPr>
        <w:t xml:space="preserve"> </w:t>
      </w:r>
      <w:r>
        <w:rPr>
          <w:sz w:val="24"/>
        </w:rPr>
        <w:t>under</w:t>
      </w:r>
      <w:r>
        <w:rPr>
          <w:spacing w:val="-9"/>
          <w:sz w:val="24"/>
        </w:rPr>
        <w:t xml:space="preserve"> </w:t>
      </w:r>
      <w:r>
        <w:rPr>
          <w:sz w:val="24"/>
        </w:rPr>
        <w:t>licensing</w:t>
      </w:r>
      <w:r>
        <w:rPr>
          <w:spacing w:val="-5"/>
          <w:sz w:val="24"/>
        </w:rPr>
        <w:t xml:space="preserve"> </w:t>
      </w:r>
      <w:r>
        <w:rPr>
          <w:sz w:val="24"/>
        </w:rPr>
        <w:t>legislation</w:t>
      </w:r>
      <w:r>
        <w:rPr>
          <w:spacing w:val="-8"/>
          <w:sz w:val="24"/>
        </w:rPr>
        <w:t xml:space="preserve"> </w:t>
      </w:r>
      <w:r>
        <w:rPr>
          <w:sz w:val="24"/>
        </w:rPr>
        <w:t>where</w:t>
      </w:r>
      <w:r>
        <w:rPr>
          <w:spacing w:val="-10"/>
          <w:sz w:val="24"/>
        </w:rPr>
        <w:t xml:space="preserve"> </w:t>
      </w:r>
      <w:r>
        <w:rPr>
          <w:sz w:val="24"/>
        </w:rPr>
        <w:t>these</w:t>
      </w:r>
      <w:r>
        <w:rPr>
          <w:spacing w:val="-5"/>
          <w:sz w:val="24"/>
        </w:rPr>
        <w:t xml:space="preserve"> </w:t>
      </w:r>
      <w:r>
        <w:rPr>
          <w:sz w:val="24"/>
        </w:rPr>
        <w:t>are</w:t>
      </w:r>
      <w:r>
        <w:rPr>
          <w:spacing w:val="-6"/>
          <w:sz w:val="24"/>
        </w:rPr>
        <w:t xml:space="preserve"> </w:t>
      </w:r>
      <w:r>
        <w:rPr>
          <w:sz w:val="24"/>
        </w:rPr>
        <w:t>published</w:t>
      </w:r>
      <w:r>
        <w:rPr>
          <w:spacing w:val="-9"/>
          <w:sz w:val="24"/>
        </w:rPr>
        <w:t xml:space="preserve"> </w:t>
      </w:r>
      <w:r>
        <w:rPr>
          <w:sz w:val="24"/>
        </w:rPr>
        <w:t>elsewhere.</w:t>
      </w:r>
    </w:p>
    <w:p w14:paraId="0DFBBDA6" w14:textId="77777777" w:rsidR="004C78EF" w:rsidRDefault="004C78EF">
      <w:pPr>
        <w:rPr>
          <w:sz w:val="24"/>
        </w:rPr>
        <w:sectPr w:rsidR="004C78EF">
          <w:pgSz w:w="16850" w:h="11920" w:orient="landscape"/>
          <w:pgMar w:top="960" w:right="1320" w:bottom="280" w:left="1200" w:header="720" w:footer="720" w:gutter="0"/>
          <w:cols w:space="720"/>
        </w:sectPr>
      </w:pPr>
    </w:p>
    <w:p w14:paraId="0DFBBDA7" w14:textId="77777777" w:rsidR="004C78EF" w:rsidRDefault="005557C1">
      <w:pPr>
        <w:spacing w:before="71" w:line="276" w:lineRule="auto"/>
        <w:ind w:left="955" w:right="285"/>
        <w:rPr>
          <w:b/>
          <w:sz w:val="32"/>
        </w:rPr>
      </w:pPr>
      <w:r>
        <w:rPr>
          <w:b/>
          <w:sz w:val="32"/>
        </w:rPr>
        <w:lastRenderedPageBreak/>
        <w:t>List of Decisions taken by Officers in South East Local Enterprise Partnership, hosted by Essex County Council</w:t>
      </w:r>
    </w:p>
    <w:p w14:paraId="0DFBBDA8" w14:textId="77777777" w:rsidR="004C78EF" w:rsidRDefault="005557C1">
      <w:pPr>
        <w:spacing w:before="199" w:line="242" w:lineRule="auto"/>
        <w:ind w:left="235" w:right="285"/>
        <w:rPr>
          <w:i/>
          <w:sz w:val="24"/>
        </w:rPr>
      </w:pPr>
      <w:r>
        <w:rPr>
          <w:i/>
          <w:sz w:val="24"/>
        </w:rPr>
        <w:t xml:space="preserve">To be kept by every Executive Support Officer on behalf </w:t>
      </w:r>
      <w:r>
        <w:rPr>
          <w:i/>
          <w:sz w:val="24"/>
        </w:rPr>
        <w:t>of each function. Decisions taken with a value of over £500,000 do not have to be listed here as they can only be taken by an Executive Director and must be the subject of a published report.</w:t>
      </w:r>
    </w:p>
    <w:p w14:paraId="0DFBBDA9" w14:textId="77777777" w:rsidR="004C78EF" w:rsidRDefault="004C78EF">
      <w:pPr>
        <w:pStyle w:val="BodyText"/>
        <w:ind w:left="0"/>
        <w:rPr>
          <w:i/>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3749"/>
        <w:gridCol w:w="3062"/>
        <w:gridCol w:w="3336"/>
        <w:gridCol w:w="2246"/>
      </w:tblGrid>
      <w:tr w:rsidR="004C78EF" w14:paraId="0DFBBDB4" w14:textId="77777777" w:rsidTr="008A5A1E">
        <w:trPr>
          <w:trHeight w:val="1935"/>
          <w:tblHeader/>
        </w:trPr>
        <w:tc>
          <w:tcPr>
            <w:tcW w:w="1325" w:type="dxa"/>
          </w:tcPr>
          <w:p w14:paraId="0DFBBDAA" w14:textId="77777777" w:rsidR="004C78EF" w:rsidRDefault="005557C1">
            <w:pPr>
              <w:pStyle w:val="TableParagraph"/>
              <w:spacing w:before="5"/>
              <w:ind w:left="105"/>
              <w:rPr>
                <w:b/>
                <w:sz w:val="24"/>
              </w:rPr>
            </w:pPr>
            <w:r>
              <w:rPr>
                <w:b/>
                <w:sz w:val="24"/>
              </w:rPr>
              <w:t>Date</w:t>
            </w:r>
          </w:p>
        </w:tc>
        <w:tc>
          <w:tcPr>
            <w:tcW w:w="3749" w:type="dxa"/>
          </w:tcPr>
          <w:p w14:paraId="0DFBBDAB" w14:textId="77777777" w:rsidR="004C78EF" w:rsidRDefault="005557C1">
            <w:pPr>
              <w:pStyle w:val="TableParagraph"/>
              <w:spacing w:before="5"/>
              <w:ind w:left="110"/>
              <w:rPr>
                <w:b/>
                <w:sz w:val="24"/>
              </w:rPr>
            </w:pPr>
            <w:r>
              <w:rPr>
                <w:b/>
                <w:sz w:val="24"/>
              </w:rPr>
              <w:t>Decision taken</w:t>
            </w:r>
          </w:p>
        </w:tc>
        <w:tc>
          <w:tcPr>
            <w:tcW w:w="3062" w:type="dxa"/>
          </w:tcPr>
          <w:p w14:paraId="0DFBBDAC" w14:textId="77777777" w:rsidR="004C78EF" w:rsidRDefault="005557C1">
            <w:pPr>
              <w:pStyle w:val="TableParagraph"/>
              <w:spacing w:before="5"/>
              <w:ind w:left="111"/>
              <w:jc w:val="both"/>
              <w:rPr>
                <w:b/>
                <w:sz w:val="24"/>
              </w:rPr>
            </w:pPr>
            <w:r>
              <w:rPr>
                <w:b/>
                <w:sz w:val="24"/>
              </w:rPr>
              <w:t>Reasons for decision</w:t>
            </w:r>
          </w:p>
          <w:p w14:paraId="0DFBBDAD" w14:textId="77777777" w:rsidR="004C78EF" w:rsidRDefault="004C78EF">
            <w:pPr>
              <w:pStyle w:val="TableParagraph"/>
              <w:rPr>
                <w:i/>
                <w:sz w:val="24"/>
              </w:rPr>
            </w:pPr>
          </w:p>
          <w:p w14:paraId="0DFBBDAE" w14:textId="77777777" w:rsidR="004C78EF" w:rsidRDefault="005557C1">
            <w:pPr>
              <w:pStyle w:val="TableParagraph"/>
              <w:ind w:left="111" w:right="77"/>
              <w:jc w:val="both"/>
              <w:rPr>
                <w:i/>
                <w:sz w:val="24"/>
              </w:rPr>
            </w:pPr>
            <w:r>
              <w:rPr>
                <w:i/>
                <w:sz w:val="24"/>
              </w:rPr>
              <w:t>NB: If there is a report which sets out the reasons then please refer to the report i.e. date,</w:t>
            </w:r>
            <w:r>
              <w:rPr>
                <w:i/>
                <w:spacing w:val="65"/>
                <w:sz w:val="24"/>
              </w:rPr>
              <w:t xml:space="preserve"> </w:t>
            </w:r>
            <w:r>
              <w:rPr>
                <w:i/>
                <w:sz w:val="24"/>
              </w:rPr>
              <w:t>title,</w:t>
            </w:r>
          </w:p>
          <w:p w14:paraId="0DFBBDAF" w14:textId="77777777" w:rsidR="004C78EF" w:rsidRDefault="005557C1">
            <w:pPr>
              <w:pStyle w:val="TableParagraph"/>
              <w:spacing w:before="1" w:line="253" w:lineRule="exact"/>
              <w:ind w:left="111"/>
              <w:rPr>
                <w:i/>
                <w:sz w:val="24"/>
              </w:rPr>
            </w:pPr>
            <w:r>
              <w:rPr>
                <w:i/>
                <w:sz w:val="24"/>
              </w:rPr>
              <w:t>author</w:t>
            </w:r>
          </w:p>
        </w:tc>
        <w:tc>
          <w:tcPr>
            <w:tcW w:w="3336" w:type="dxa"/>
          </w:tcPr>
          <w:p w14:paraId="0DFBBDB0" w14:textId="77777777" w:rsidR="004C78EF" w:rsidRDefault="005557C1">
            <w:pPr>
              <w:pStyle w:val="TableParagraph"/>
              <w:spacing w:before="5"/>
              <w:ind w:left="112"/>
              <w:jc w:val="both"/>
              <w:rPr>
                <w:b/>
                <w:sz w:val="24"/>
              </w:rPr>
            </w:pPr>
            <w:r>
              <w:rPr>
                <w:b/>
                <w:sz w:val="24"/>
              </w:rPr>
              <w:t>Options considered</w:t>
            </w:r>
          </w:p>
          <w:p w14:paraId="0DFBBDB1" w14:textId="77777777" w:rsidR="004C78EF" w:rsidRDefault="004C78EF">
            <w:pPr>
              <w:pStyle w:val="TableParagraph"/>
              <w:rPr>
                <w:i/>
                <w:sz w:val="24"/>
              </w:rPr>
            </w:pPr>
          </w:p>
          <w:p w14:paraId="0DFBBDB2" w14:textId="77777777" w:rsidR="004C78EF" w:rsidRDefault="005557C1">
            <w:pPr>
              <w:pStyle w:val="TableParagraph"/>
              <w:ind w:left="112" w:right="81"/>
              <w:jc w:val="both"/>
              <w:rPr>
                <w:i/>
                <w:sz w:val="24"/>
              </w:rPr>
            </w:pPr>
            <w:r>
              <w:rPr>
                <w:i/>
                <w:sz w:val="24"/>
              </w:rPr>
              <w:t>NB: If there is a report which sets out the reasons then please refer to the report i.e. date, title, author</w:t>
            </w:r>
          </w:p>
        </w:tc>
        <w:tc>
          <w:tcPr>
            <w:tcW w:w="2246" w:type="dxa"/>
          </w:tcPr>
          <w:p w14:paraId="0DFBBDB3" w14:textId="77777777" w:rsidR="004C78EF" w:rsidRDefault="005557C1">
            <w:pPr>
              <w:pStyle w:val="TableParagraph"/>
              <w:tabs>
                <w:tab w:val="left" w:pos="810"/>
                <w:tab w:val="left" w:pos="1189"/>
                <w:tab w:val="left" w:pos="1717"/>
                <w:tab w:val="left" w:pos="1914"/>
              </w:tabs>
              <w:spacing w:before="5"/>
              <w:ind w:left="108" w:right="87"/>
              <w:rPr>
                <w:b/>
                <w:sz w:val="24"/>
              </w:rPr>
            </w:pPr>
            <w:r>
              <w:rPr>
                <w:b/>
                <w:sz w:val="24"/>
              </w:rPr>
              <w:t>Any</w:t>
            </w:r>
            <w:r>
              <w:rPr>
                <w:b/>
                <w:sz w:val="24"/>
              </w:rPr>
              <w:tab/>
              <w:t>conflict</w:t>
            </w:r>
            <w:r>
              <w:rPr>
                <w:b/>
                <w:sz w:val="24"/>
              </w:rPr>
              <w:tab/>
            </w:r>
            <w:r>
              <w:rPr>
                <w:b/>
                <w:sz w:val="24"/>
              </w:rPr>
              <w:tab/>
            </w:r>
            <w:r>
              <w:rPr>
                <w:b/>
                <w:spacing w:val="-7"/>
                <w:sz w:val="24"/>
              </w:rPr>
              <w:t xml:space="preserve">of </w:t>
            </w:r>
            <w:r>
              <w:rPr>
                <w:b/>
                <w:sz w:val="24"/>
              </w:rPr>
              <w:t>i</w:t>
            </w:r>
            <w:r>
              <w:rPr>
                <w:b/>
                <w:sz w:val="24"/>
              </w:rPr>
              <w:t>nterests</w:t>
            </w:r>
            <w:r>
              <w:rPr>
                <w:b/>
                <w:sz w:val="24"/>
              </w:rPr>
              <w:tab/>
            </w:r>
            <w:r>
              <w:rPr>
                <w:b/>
                <w:sz w:val="24"/>
              </w:rPr>
              <w:tab/>
            </w:r>
            <w:r>
              <w:rPr>
                <w:b/>
                <w:spacing w:val="-6"/>
                <w:sz w:val="24"/>
              </w:rPr>
              <w:t xml:space="preserve">and </w:t>
            </w:r>
            <w:r>
              <w:rPr>
                <w:b/>
                <w:sz w:val="24"/>
              </w:rPr>
              <w:t>details</w:t>
            </w:r>
            <w:r>
              <w:rPr>
                <w:b/>
                <w:sz w:val="24"/>
              </w:rPr>
              <w:tab/>
              <w:t>of</w:t>
            </w:r>
            <w:r>
              <w:rPr>
                <w:b/>
                <w:sz w:val="24"/>
              </w:rPr>
              <w:tab/>
              <w:t>any dispensation granted</w:t>
            </w:r>
          </w:p>
        </w:tc>
      </w:tr>
      <w:tr w:rsidR="004C78EF" w14:paraId="0DFBBDC0" w14:textId="77777777" w:rsidTr="008A5A1E">
        <w:trPr>
          <w:trHeight w:val="3864"/>
        </w:trPr>
        <w:tc>
          <w:tcPr>
            <w:tcW w:w="1325" w:type="dxa"/>
          </w:tcPr>
          <w:p w14:paraId="0DFBBDB5" w14:textId="77777777" w:rsidR="004C78EF" w:rsidRDefault="005557C1">
            <w:pPr>
              <w:pStyle w:val="TableParagraph"/>
              <w:tabs>
                <w:tab w:val="left" w:pos="791"/>
              </w:tabs>
              <w:spacing w:before="5" w:line="242" w:lineRule="auto"/>
              <w:ind w:left="105" w:right="93"/>
              <w:rPr>
                <w:sz w:val="24"/>
              </w:rPr>
            </w:pPr>
            <w:r>
              <w:rPr>
                <w:sz w:val="24"/>
              </w:rPr>
              <w:t>5</w:t>
            </w:r>
            <w:r>
              <w:rPr>
                <w:sz w:val="24"/>
                <w:vertAlign w:val="superscript"/>
              </w:rPr>
              <w:t>th</w:t>
            </w:r>
            <w:r>
              <w:rPr>
                <w:sz w:val="24"/>
              </w:rPr>
              <w:tab/>
            </w:r>
            <w:r>
              <w:rPr>
                <w:spacing w:val="-4"/>
                <w:sz w:val="24"/>
              </w:rPr>
              <w:t xml:space="preserve">July </w:t>
            </w:r>
            <w:r>
              <w:rPr>
                <w:sz w:val="24"/>
              </w:rPr>
              <w:t>2018</w:t>
            </w:r>
          </w:p>
        </w:tc>
        <w:tc>
          <w:tcPr>
            <w:tcW w:w="3749" w:type="dxa"/>
          </w:tcPr>
          <w:p w14:paraId="0DFBBDB6" w14:textId="77777777" w:rsidR="004C78EF" w:rsidRDefault="005557C1">
            <w:pPr>
              <w:pStyle w:val="TableParagraph"/>
              <w:ind w:left="110" w:right="83"/>
              <w:jc w:val="both"/>
              <w:rPr>
                <w:sz w:val="24"/>
              </w:rPr>
            </w:pPr>
            <w:r>
              <w:rPr>
                <w:sz w:val="24"/>
              </w:rPr>
              <w:t xml:space="preserve">Managing Director decision </w:t>
            </w:r>
            <w:r>
              <w:rPr>
                <w:spacing w:val="-3"/>
                <w:sz w:val="24"/>
              </w:rPr>
              <w:t xml:space="preserve">to </w:t>
            </w:r>
            <w:r>
              <w:rPr>
                <w:sz w:val="24"/>
              </w:rPr>
              <w:t>award £161,000 Growing Places Fund Revenue Grant to Medway Council to support the delivery of the North Kent Enterprise Zone project, following endorsement by the South East Local Enterprise Partnership Strategic Board.</w:t>
            </w:r>
          </w:p>
        </w:tc>
        <w:tc>
          <w:tcPr>
            <w:tcW w:w="3062" w:type="dxa"/>
          </w:tcPr>
          <w:p w14:paraId="0DFBBDB7" w14:textId="77777777" w:rsidR="004C78EF" w:rsidRDefault="005557C1">
            <w:pPr>
              <w:pStyle w:val="TableParagraph"/>
              <w:ind w:left="111" w:right="78"/>
              <w:jc w:val="both"/>
              <w:rPr>
                <w:sz w:val="24"/>
              </w:rPr>
            </w:pPr>
            <w:r>
              <w:rPr>
                <w:sz w:val="24"/>
              </w:rPr>
              <w:t>See report titled</w:t>
            </w:r>
            <w:proofErr w:type="gramStart"/>
            <w:r>
              <w:rPr>
                <w:sz w:val="24"/>
              </w:rPr>
              <w:t xml:space="preserve">:  </w:t>
            </w:r>
            <w:r>
              <w:rPr>
                <w:spacing w:val="-4"/>
                <w:sz w:val="24"/>
              </w:rPr>
              <w:t>‘</w:t>
            </w:r>
            <w:proofErr w:type="gramEnd"/>
            <w:r>
              <w:rPr>
                <w:spacing w:val="-4"/>
                <w:sz w:val="24"/>
              </w:rPr>
              <w:t xml:space="preserve">To </w:t>
            </w:r>
            <w:r>
              <w:rPr>
                <w:sz w:val="24"/>
              </w:rPr>
              <w:t>Agree Sector</w:t>
            </w:r>
            <w:r>
              <w:rPr>
                <w:sz w:val="24"/>
              </w:rPr>
              <w:t xml:space="preserve"> Support Fund Grant Allocations’ in respect of the North Kent Enterprise Zone</w:t>
            </w:r>
            <w:r>
              <w:rPr>
                <w:spacing w:val="-11"/>
                <w:sz w:val="24"/>
              </w:rPr>
              <w:t xml:space="preserve"> </w:t>
            </w:r>
            <w:r>
              <w:rPr>
                <w:sz w:val="24"/>
              </w:rPr>
              <w:t>project.</w:t>
            </w:r>
          </w:p>
          <w:p w14:paraId="0DFBBDB8" w14:textId="77777777" w:rsidR="004C78EF" w:rsidRDefault="004C78EF">
            <w:pPr>
              <w:pStyle w:val="TableParagraph"/>
              <w:spacing w:before="1"/>
              <w:rPr>
                <w:i/>
                <w:sz w:val="24"/>
              </w:rPr>
            </w:pPr>
          </w:p>
          <w:p w14:paraId="0DFBBDB9" w14:textId="77777777" w:rsidR="004C78EF" w:rsidRDefault="005557C1">
            <w:pPr>
              <w:pStyle w:val="TableParagraph"/>
              <w:spacing w:line="242" w:lineRule="auto"/>
              <w:ind w:left="111" w:right="86"/>
              <w:jc w:val="both"/>
              <w:rPr>
                <w:sz w:val="24"/>
              </w:rPr>
            </w:pPr>
            <w:r>
              <w:rPr>
                <w:sz w:val="24"/>
              </w:rPr>
              <w:t>Report dated: 25</w:t>
            </w:r>
            <w:r>
              <w:rPr>
                <w:sz w:val="24"/>
                <w:vertAlign w:val="superscript"/>
              </w:rPr>
              <w:t>th</w:t>
            </w:r>
            <w:r>
              <w:rPr>
                <w:sz w:val="24"/>
              </w:rPr>
              <w:t xml:space="preserve"> April 2018</w:t>
            </w:r>
          </w:p>
          <w:p w14:paraId="0DFBBDBA" w14:textId="77777777" w:rsidR="004C78EF" w:rsidRDefault="004C78EF">
            <w:pPr>
              <w:pStyle w:val="TableParagraph"/>
              <w:spacing w:before="10"/>
              <w:rPr>
                <w:i/>
                <w:sz w:val="23"/>
              </w:rPr>
            </w:pPr>
          </w:p>
          <w:p w14:paraId="0DFBBDBB" w14:textId="77777777" w:rsidR="004C78EF" w:rsidRDefault="005557C1">
            <w:pPr>
              <w:pStyle w:val="TableParagraph"/>
              <w:spacing w:before="1" w:line="237" w:lineRule="auto"/>
              <w:ind w:left="111" w:right="79"/>
              <w:jc w:val="both"/>
              <w:rPr>
                <w:sz w:val="24"/>
              </w:rPr>
            </w:pPr>
            <w:r>
              <w:rPr>
                <w:sz w:val="24"/>
              </w:rPr>
              <w:t>Report Author: Rhiannon Mort</w:t>
            </w:r>
          </w:p>
          <w:p w14:paraId="0DFBBDBC" w14:textId="77777777" w:rsidR="004C78EF" w:rsidRDefault="004C78EF">
            <w:pPr>
              <w:pStyle w:val="TableParagraph"/>
              <w:spacing w:before="1"/>
              <w:rPr>
                <w:i/>
                <w:sz w:val="24"/>
              </w:rPr>
            </w:pPr>
          </w:p>
          <w:p w14:paraId="0DFBBDBD" w14:textId="77777777" w:rsidR="004C78EF" w:rsidRDefault="005557C1">
            <w:pPr>
              <w:pStyle w:val="TableParagraph"/>
              <w:ind w:left="111"/>
              <w:jc w:val="both"/>
              <w:rPr>
                <w:sz w:val="24"/>
              </w:rPr>
            </w:pPr>
            <w:r>
              <w:rPr>
                <w:sz w:val="24"/>
              </w:rPr>
              <w:t xml:space="preserve">Report published </w:t>
            </w:r>
            <w:hyperlink r:id="rId9">
              <w:r>
                <w:rPr>
                  <w:color w:val="0000FF"/>
                  <w:sz w:val="24"/>
                  <w:u w:val="single" w:color="0000FF"/>
                </w:rPr>
                <w:t>here</w:t>
              </w:r>
            </w:hyperlink>
            <w:r>
              <w:rPr>
                <w:sz w:val="24"/>
              </w:rPr>
              <w:t>.</w:t>
            </w:r>
          </w:p>
        </w:tc>
        <w:tc>
          <w:tcPr>
            <w:tcW w:w="3336" w:type="dxa"/>
          </w:tcPr>
          <w:p w14:paraId="0DFBBDBE" w14:textId="77777777" w:rsidR="004C78EF" w:rsidRDefault="005557C1">
            <w:pPr>
              <w:pStyle w:val="TableParagraph"/>
              <w:ind w:left="112"/>
              <w:rPr>
                <w:sz w:val="24"/>
              </w:rPr>
            </w:pPr>
            <w:r>
              <w:rPr>
                <w:sz w:val="24"/>
              </w:rPr>
              <w:t>See supporting report</w:t>
            </w:r>
          </w:p>
        </w:tc>
        <w:tc>
          <w:tcPr>
            <w:tcW w:w="2246" w:type="dxa"/>
          </w:tcPr>
          <w:p w14:paraId="0DFBBDBF" w14:textId="77777777" w:rsidR="004C78EF" w:rsidRDefault="005557C1">
            <w:pPr>
              <w:pStyle w:val="TableParagraph"/>
              <w:ind w:left="108"/>
              <w:rPr>
                <w:sz w:val="24"/>
              </w:rPr>
            </w:pPr>
            <w:r>
              <w:rPr>
                <w:sz w:val="24"/>
              </w:rPr>
              <w:t>None</w:t>
            </w:r>
          </w:p>
        </w:tc>
      </w:tr>
      <w:tr w:rsidR="004C78EF" w14:paraId="0DFBBDC9" w14:textId="77777777" w:rsidTr="008A5A1E">
        <w:trPr>
          <w:trHeight w:val="1661"/>
        </w:trPr>
        <w:tc>
          <w:tcPr>
            <w:tcW w:w="1325" w:type="dxa"/>
          </w:tcPr>
          <w:p w14:paraId="0DFBBDC1" w14:textId="77777777" w:rsidR="004C78EF" w:rsidRDefault="005557C1">
            <w:pPr>
              <w:pStyle w:val="TableParagraph"/>
              <w:spacing w:before="2" w:line="242" w:lineRule="auto"/>
              <w:ind w:left="105" w:right="82"/>
              <w:rPr>
                <w:sz w:val="24"/>
              </w:rPr>
            </w:pPr>
            <w:r>
              <w:rPr>
                <w:position w:val="-5"/>
                <w:sz w:val="24"/>
              </w:rPr>
              <w:t>6</w:t>
            </w:r>
            <w:proofErr w:type="spellStart"/>
            <w:r>
              <w:rPr>
                <w:sz w:val="16"/>
              </w:rPr>
              <w:t>th</w:t>
            </w:r>
            <w:proofErr w:type="spellEnd"/>
            <w:r>
              <w:rPr>
                <w:sz w:val="16"/>
              </w:rPr>
              <w:t xml:space="preserve"> </w:t>
            </w:r>
            <w:r>
              <w:rPr>
                <w:sz w:val="24"/>
              </w:rPr>
              <w:t>December 2018</w:t>
            </w:r>
          </w:p>
        </w:tc>
        <w:tc>
          <w:tcPr>
            <w:tcW w:w="3749" w:type="dxa"/>
          </w:tcPr>
          <w:p w14:paraId="0DFBBDC2" w14:textId="77777777" w:rsidR="004C78EF" w:rsidRDefault="005557C1">
            <w:pPr>
              <w:pStyle w:val="TableParagraph"/>
              <w:ind w:left="110" w:right="83"/>
              <w:jc w:val="both"/>
              <w:rPr>
                <w:sz w:val="24"/>
              </w:rPr>
            </w:pPr>
            <w:r>
              <w:rPr>
                <w:sz w:val="24"/>
              </w:rPr>
              <w:t xml:space="preserve">Managing Director decision </w:t>
            </w:r>
            <w:r>
              <w:rPr>
                <w:spacing w:val="-3"/>
                <w:sz w:val="24"/>
              </w:rPr>
              <w:t xml:space="preserve">to </w:t>
            </w:r>
            <w:r>
              <w:rPr>
                <w:sz w:val="24"/>
              </w:rPr>
              <w:t xml:space="preserve">award £110,000 Growing Places Fund Revenue Grant to Essex County Council to support the delivery   of   the   Future   </w:t>
            </w:r>
            <w:r>
              <w:rPr>
                <w:spacing w:val="37"/>
                <w:sz w:val="24"/>
              </w:rPr>
              <w:t xml:space="preserve"> </w:t>
            </w:r>
            <w:r>
              <w:rPr>
                <w:sz w:val="24"/>
              </w:rPr>
              <w:t>Proof</w:t>
            </w:r>
          </w:p>
          <w:p w14:paraId="0DFBBDC3" w14:textId="77777777" w:rsidR="004C78EF" w:rsidRDefault="005557C1">
            <w:pPr>
              <w:pStyle w:val="TableParagraph"/>
              <w:spacing w:before="3" w:line="258" w:lineRule="exact"/>
              <w:ind w:left="110"/>
              <w:jc w:val="both"/>
              <w:rPr>
                <w:sz w:val="24"/>
              </w:rPr>
            </w:pPr>
            <w:proofErr w:type="gramStart"/>
            <w:r>
              <w:rPr>
                <w:sz w:val="24"/>
              </w:rPr>
              <w:t xml:space="preserve">project,   </w:t>
            </w:r>
            <w:proofErr w:type="gramEnd"/>
            <w:r>
              <w:rPr>
                <w:sz w:val="24"/>
              </w:rPr>
              <w:t xml:space="preserve">following </w:t>
            </w:r>
            <w:r>
              <w:rPr>
                <w:spacing w:val="47"/>
                <w:sz w:val="24"/>
              </w:rPr>
              <w:t xml:space="preserve"> </w:t>
            </w:r>
            <w:r>
              <w:rPr>
                <w:sz w:val="24"/>
              </w:rPr>
              <w:t>endorsement</w:t>
            </w:r>
          </w:p>
        </w:tc>
        <w:tc>
          <w:tcPr>
            <w:tcW w:w="3062" w:type="dxa"/>
          </w:tcPr>
          <w:p w14:paraId="0DFBBDC4" w14:textId="77777777" w:rsidR="004C78EF" w:rsidRDefault="005557C1">
            <w:pPr>
              <w:pStyle w:val="TableParagraph"/>
              <w:ind w:left="111" w:right="78"/>
              <w:jc w:val="both"/>
              <w:rPr>
                <w:sz w:val="24"/>
              </w:rPr>
            </w:pPr>
            <w:r>
              <w:rPr>
                <w:sz w:val="24"/>
              </w:rPr>
              <w:t>See report titled: ‘To agree Sector Support Funding Grant Allocations to the Future Proof Projec</w:t>
            </w:r>
            <w:r>
              <w:rPr>
                <w:sz w:val="24"/>
              </w:rPr>
              <w:t>t’.</w:t>
            </w:r>
          </w:p>
          <w:p w14:paraId="0DFBBDC5" w14:textId="77777777" w:rsidR="004C78EF" w:rsidRDefault="004C78EF">
            <w:pPr>
              <w:pStyle w:val="TableParagraph"/>
              <w:spacing w:before="5"/>
              <w:rPr>
                <w:i/>
                <w:sz w:val="23"/>
              </w:rPr>
            </w:pPr>
          </w:p>
          <w:p w14:paraId="0DFBBDC6" w14:textId="77777777" w:rsidR="004C78EF" w:rsidRDefault="005557C1">
            <w:pPr>
              <w:pStyle w:val="TableParagraph"/>
              <w:spacing w:line="267" w:lineRule="exact"/>
              <w:ind w:left="111"/>
              <w:jc w:val="both"/>
              <w:rPr>
                <w:sz w:val="24"/>
              </w:rPr>
            </w:pPr>
            <w:r>
              <w:rPr>
                <w:sz w:val="24"/>
              </w:rPr>
              <w:t>Report dated: 25</w:t>
            </w:r>
            <w:r>
              <w:rPr>
                <w:sz w:val="24"/>
                <w:vertAlign w:val="superscript"/>
              </w:rPr>
              <w:t>th</w:t>
            </w:r>
            <w:r>
              <w:rPr>
                <w:sz w:val="24"/>
              </w:rPr>
              <w:t xml:space="preserve"> October</w:t>
            </w:r>
          </w:p>
        </w:tc>
        <w:tc>
          <w:tcPr>
            <w:tcW w:w="3336" w:type="dxa"/>
          </w:tcPr>
          <w:p w14:paraId="0DFBBDC7" w14:textId="77777777" w:rsidR="004C78EF" w:rsidRDefault="005557C1">
            <w:pPr>
              <w:pStyle w:val="TableParagraph"/>
              <w:ind w:left="112"/>
              <w:rPr>
                <w:sz w:val="24"/>
              </w:rPr>
            </w:pPr>
            <w:r>
              <w:rPr>
                <w:sz w:val="24"/>
              </w:rPr>
              <w:t>See supporting report</w:t>
            </w:r>
          </w:p>
        </w:tc>
        <w:tc>
          <w:tcPr>
            <w:tcW w:w="2246" w:type="dxa"/>
          </w:tcPr>
          <w:p w14:paraId="0DFBBDC8" w14:textId="77777777" w:rsidR="004C78EF" w:rsidRDefault="005557C1">
            <w:pPr>
              <w:pStyle w:val="TableParagraph"/>
              <w:ind w:left="108"/>
              <w:rPr>
                <w:sz w:val="24"/>
              </w:rPr>
            </w:pPr>
            <w:r>
              <w:rPr>
                <w:sz w:val="24"/>
              </w:rPr>
              <w:t>None</w:t>
            </w:r>
          </w:p>
        </w:tc>
      </w:tr>
    </w:tbl>
    <w:p w14:paraId="0DFBBDCA" w14:textId="77777777" w:rsidR="004C78EF" w:rsidRDefault="004C78EF">
      <w:pPr>
        <w:rPr>
          <w:sz w:val="24"/>
        </w:rPr>
        <w:sectPr w:rsidR="004C78EF">
          <w:pgSz w:w="16850" w:h="11920" w:orient="landscape"/>
          <w:pgMar w:top="94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3749"/>
        <w:gridCol w:w="3062"/>
        <w:gridCol w:w="3336"/>
        <w:gridCol w:w="2246"/>
      </w:tblGrid>
      <w:tr w:rsidR="004C78EF" w14:paraId="0DFBBDD2" w14:textId="77777777">
        <w:trPr>
          <w:trHeight w:val="1241"/>
        </w:trPr>
        <w:tc>
          <w:tcPr>
            <w:tcW w:w="1325" w:type="dxa"/>
            <w:vMerge w:val="restart"/>
          </w:tcPr>
          <w:p w14:paraId="0DFBBDCB" w14:textId="77777777" w:rsidR="004C78EF" w:rsidRDefault="004C78EF">
            <w:pPr>
              <w:pStyle w:val="TableParagraph"/>
              <w:rPr>
                <w:rFonts w:ascii="Times New Roman"/>
              </w:rPr>
            </w:pPr>
          </w:p>
        </w:tc>
        <w:tc>
          <w:tcPr>
            <w:tcW w:w="3749" w:type="dxa"/>
            <w:tcBorders>
              <w:bottom w:val="nil"/>
            </w:tcBorders>
          </w:tcPr>
          <w:p w14:paraId="0DFBBDCC" w14:textId="77777777" w:rsidR="004C78EF" w:rsidRDefault="005557C1">
            <w:pPr>
              <w:pStyle w:val="TableParagraph"/>
              <w:ind w:left="110" w:right="83"/>
              <w:jc w:val="both"/>
              <w:rPr>
                <w:sz w:val="24"/>
              </w:rPr>
            </w:pPr>
            <w:r>
              <w:rPr>
                <w:sz w:val="24"/>
              </w:rPr>
              <w:t>by the South East Local Enterprise Partnership Strategic Board.</w:t>
            </w:r>
          </w:p>
        </w:tc>
        <w:tc>
          <w:tcPr>
            <w:tcW w:w="3062" w:type="dxa"/>
            <w:tcBorders>
              <w:bottom w:val="nil"/>
            </w:tcBorders>
          </w:tcPr>
          <w:p w14:paraId="0DFBBDCD" w14:textId="77777777" w:rsidR="004C78EF" w:rsidRDefault="005557C1">
            <w:pPr>
              <w:pStyle w:val="TableParagraph"/>
              <w:ind w:left="111"/>
              <w:rPr>
                <w:sz w:val="24"/>
              </w:rPr>
            </w:pPr>
            <w:r>
              <w:rPr>
                <w:sz w:val="24"/>
              </w:rPr>
              <w:t>2018</w:t>
            </w:r>
          </w:p>
          <w:p w14:paraId="0DFBBDCE" w14:textId="77777777" w:rsidR="004C78EF" w:rsidRDefault="004C78EF">
            <w:pPr>
              <w:pStyle w:val="TableParagraph"/>
              <w:rPr>
                <w:i/>
                <w:sz w:val="24"/>
              </w:rPr>
            </w:pPr>
          </w:p>
          <w:p w14:paraId="0DFBBDCF" w14:textId="77777777" w:rsidR="004C78EF" w:rsidRDefault="005557C1">
            <w:pPr>
              <w:pStyle w:val="TableParagraph"/>
              <w:spacing w:before="1" w:line="242" w:lineRule="auto"/>
              <w:ind w:left="111"/>
              <w:rPr>
                <w:sz w:val="24"/>
              </w:rPr>
            </w:pPr>
            <w:r>
              <w:rPr>
                <w:sz w:val="24"/>
              </w:rPr>
              <w:t xml:space="preserve">Report Author: </w:t>
            </w:r>
            <w:r>
              <w:rPr>
                <w:spacing w:val="-3"/>
                <w:sz w:val="24"/>
              </w:rPr>
              <w:t xml:space="preserve">Rhiannon </w:t>
            </w:r>
            <w:r>
              <w:rPr>
                <w:sz w:val="24"/>
              </w:rPr>
              <w:t>Mort</w:t>
            </w:r>
          </w:p>
        </w:tc>
        <w:tc>
          <w:tcPr>
            <w:tcW w:w="3336" w:type="dxa"/>
            <w:vMerge w:val="restart"/>
          </w:tcPr>
          <w:p w14:paraId="0DFBBDD0" w14:textId="77777777" w:rsidR="004C78EF" w:rsidRDefault="004C78EF">
            <w:pPr>
              <w:pStyle w:val="TableParagraph"/>
              <w:rPr>
                <w:rFonts w:ascii="Times New Roman"/>
              </w:rPr>
            </w:pPr>
          </w:p>
        </w:tc>
        <w:tc>
          <w:tcPr>
            <w:tcW w:w="2246" w:type="dxa"/>
            <w:vMerge w:val="restart"/>
          </w:tcPr>
          <w:p w14:paraId="0DFBBDD1" w14:textId="77777777" w:rsidR="004C78EF" w:rsidRDefault="004C78EF">
            <w:pPr>
              <w:pStyle w:val="TableParagraph"/>
              <w:rPr>
                <w:rFonts w:ascii="Times New Roman"/>
              </w:rPr>
            </w:pPr>
          </w:p>
        </w:tc>
      </w:tr>
      <w:tr w:rsidR="004C78EF" w14:paraId="0DFBBDD8" w14:textId="77777777">
        <w:trPr>
          <w:trHeight w:val="404"/>
        </w:trPr>
        <w:tc>
          <w:tcPr>
            <w:tcW w:w="1325" w:type="dxa"/>
            <w:vMerge/>
            <w:tcBorders>
              <w:top w:val="nil"/>
            </w:tcBorders>
          </w:tcPr>
          <w:p w14:paraId="0DFBBDD3" w14:textId="77777777" w:rsidR="004C78EF" w:rsidRDefault="004C78EF">
            <w:pPr>
              <w:rPr>
                <w:sz w:val="2"/>
                <w:szCs w:val="2"/>
              </w:rPr>
            </w:pPr>
          </w:p>
        </w:tc>
        <w:tc>
          <w:tcPr>
            <w:tcW w:w="3749" w:type="dxa"/>
            <w:tcBorders>
              <w:top w:val="nil"/>
            </w:tcBorders>
          </w:tcPr>
          <w:p w14:paraId="0DFBBDD4" w14:textId="77777777" w:rsidR="004C78EF" w:rsidRDefault="004C78EF">
            <w:pPr>
              <w:pStyle w:val="TableParagraph"/>
              <w:rPr>
                <w:rFonts w:ascii="Times New Roman"/>
              </w:rPr>
            </w:pPr>
          </w:p>
        </w:tc>
        <w:tc>
          <w:tcPr>
            <w:tcW w:w="3062" w:type="dxa"/>
            <w:tcBorders>
              <w:top w:val="nil"/>
            </w:tcBorders>
          </w:tcPr>
          <w:p w14:paraId="0DFBBDD5" w14:textId="77777777" w:rsidR="004C78EF" w:rsidRDefault="005557C1">
            <w:pPr>
              <w:pStyle w:val="TableParagraph"/>
              <w:spacing w:before="126" w:line="258" w:lineRule="exact"/>
              <w:ind w:left="111"/>
              <w:rPr>
                <w:sz w:val="24"/>
              </w:rPr>
            </w:pPr>
            <w:r>
              <w:rPr>
                <w:sz w:val="24"/>
              </w:rPr>
              <w:t xml:space="preserve">Report published </w:t>
            </w:r>
            <w:hyperlink r:id="rId10">
              <w:r>
                <w:rPr>
                  <w:color w:val="0000FF"/>
                  <w:sz w:val="24"/>
                  <w:u w:val="single" w:color="0000FF"/>
                </w:rPr>
                <w:t>here</w:t>
              </w:r>
            </w:hyperlink>
          </w:p>
        </w:tc>
        <w:tc>
          <w:tcPr>
            <w:tcW w:w="3336" w:type="dxa"/>
            <w:vMerge/>
            <w:tcBorders>
              <w:top w:val="nil"/>
            </w:tcBorders>
          </w:tcPr>
          <w:p w14:paraId="0DFBBDD6" w14:textId="77777777" w:rsidR="004C78EF" w:rsidRDefault="004C78EF">
            <w:pPr>
              <w:rPr>
                <w:sz w:val="2"/>
                <w:szCs w:val="2"/>
              </w:rPr>
            </w:pPr>
          </w:p>
        </w:tc>
        <w:tc>
          <w:tcPr>
            <w:tcW w:w="2246" w:type="dxa"/>
            <w:vMerge/>
            <w:tcBorders>
              <w:top w:val="nil"/>
            </w:tcBorders>
          </w:tcPr>
          <w:p w14:paraId="0DFBBDD7" w14:textId="77777777" w:rsidR="004C78EF" w:rsidRDefault="004C78EF">
            <w:pPr>
              <w:rPr>
                <w:sz w:val="2"/>
                <w:szCs w:val="2"/>
              </w:rPr>
            </w:pPr>
          </w:p>
        </w:tc>
      </w:tr>
      <w:tr w:rsidR="004C78EF" w14:paraId="0DFBBDE1" w14:textId="77777777">
        <w:trPr>
          <w:trHeight w:val="2495"/>
        </w:trPr>
        <w:tc>
          <w:tcPr>
            <w:tcW w:w="1325" w:type="dxa"/>
            <w:tcBorders>
              <w:bottom w:val="nil"/>
            </w:tcBorders>
          </w:tcPr>
          <w:p w14:paraId="0DFBBDD9" w14:textId="77777777" w:rsidR="004C78EF" w:rsidRDefault="005557C1">
            <w:pPr>
              <w:pStyle w:val="TableParagraph"/>
              <w:spacing w:before="2" w:line="242" w:lineRule="auto"/>
              <w:ind w:left="105" w:right="82"/>
              <w:rPr>
                <w:sz w:val="24"/>
              </w:rPr>
            </w:pPr>
            <w:r>
              <w:rPr>
                <w:position w:val="-5"/>
                <w:sz w:val="24"/>
              </w:rPr>
              <w:t>6</w:t>
            </w:r>
            <w:proofErr w:type="spellStart"/>
            <w:r>
              <w:rPr>
                <w:sz w:val="16"/>
              </w:rPr>
              <w:t>th</w:t>
            </w:r>
            <w:proofErr w:type="spellEnd"/>
            <w:r>
              <w:rPr>
                <w:sz w:val="16"/>
              </w:rPr>
              <w:t xml:space="preserve"> </w:t>
            </w:r>
            <w:r>
              <w:rPr>
                <w:sz w:val="24"/>
              </w:rPr>
              <w:t>December 2018</w:t>
            </w:r>
          </w:p>
        </w:tc>
        <w:tc>
          <w:tcPr>
            <w:tcW w:w="3749" w:type="dxa"/>
            <w:tcBorders>
              <w:bottom w:val="nil"/>
            </w:tcBorders>
          </w:tcPr>
          <w:p w14:paraId="0DFBBDDA" w14:textId="77777777" w:rsidR="004C78EF" w:rsidRDefault="005557C1">
            <w:pPr>
              <w:pStyle w:val="TableParagraph"/>
              <w:ind w:left="110" w:right="83"/>
              <w:jc w:val="both"/>
              <w:rPr>
                <w:sz w:val="24"/>
              </w:rPr>
            </w:pPr>
            <w:r>
              <w:rPr>
                <w:sz w:val="24"/>
              </w:rPr>
              <w:t xml:space="preserve">Managing Director decision </w:t>
            </w:r>
            <w:r>
              <w:rPr>
                <w:spacing w:val="-3"/>
                <w:sz w:val="24"/>
              </w:rPr>
              <w:t xml:space="preserve">to </w:t>
            </w:r>
            <w:r>
              <w:rPr>
                <w:sz w:val="24"/>
              </w:rPr>
              <w:t>award £60,400 Growing Places Fund Revenue Grant to Kent County Council to support the delivery</w:t>
            </w:r>
            <w:r>
              <w:rPr>
                <w:spacing w:val="-20"/>
                <w:sz w:val="24"/>
              </w:rPr>
              <w:t xml:space="preserve"> </w:t>
            </w:r>
            <w:r>
              <w:rPr>
                <w:sz w:val="24"/>
              </w:rPr>
              <w:t>of</w:t>
            </w:r>
            <w:r>
              <w:rPr>
                <w:spacing w:val="-16"/>
                <w:sz w:val="24"/>
              </w:rPr>
              <w:t xml:space="preserve"> </w:t>
            </w:r>
            <w:r>
              <w:rPr>
                <w:sz w:val="24"/>
              </w:rPr>
              <w:t>the</w:t>
            </w:r>
            <w:r>
              <w:rPr>
                <w:spacing w:val="-15"/>
                <w:sz w:val="24"/>
              </w:rPr>
              <w:t xml:space="preserve"> </w:t>
            </w:r>
            <w:r>
              <w:rPr>
                <w:sz w:val="24"/>
              </w:rPr>
              <w:t>Good</w:t>
            </w:r>
            <w:r>
              <w:rPr>
                <w:spacing w:val="-5"/>
                <w:sz w:val="24"/>
              </w:rPr>
              <w:t xml:space="preserve"> </w:t>
            </w:r>
            <w:r>
              <w:rPr>
                <w:sz w:val="24"/>
              </w:rPr>
              <w:t>Food</w:t>
            </w:r>
            <w:r>
              <w:rPr>
                <w:spacing w:val="-15"/>
                <w:sz w:val="24"/>
              </w:rPr>
              <w:t xml:space="preserve"> </w:t>
            </w:r>
            <w:r>
              <w:rPr>
                <w:sz w:val="24"/>
              </w:rPr>
              <w:t>Growth Campaign Project, following endorsement by the South</w:t>
            </w:r>
            <w:r>
              <w:rPr>
                <w:spacing w:val="34"/>
                <w:sz w:val="24"/>
              </w:rPr>
              <w:t xml:space="preserve"> </w:t>
            </w:r>
            <w:r>
              <w:rPr>
                <w:sz w:val="24"/>
              </w:rPr>
              <w:t>East</w:t>
            </w:r>
          </w:p>
          <w:p w14:paraId="0DFBBDDB" w14:textId="77777777" w:rsidR="004C78EF" w:rsidRDefault="005557C1">
            <w:pPr>
              <w:pStyle w:val="TableParagraph"/>
              <w:spacing w:line="280" w:lineRule="atLeast"/>
              <w:ind w:left="110" w:right="85"/>
              <w:jc w:val="both"/>
              <w:rPr>
                <w:sz w:val="24"/>
              </w:rPr>
            </w:pPr>
            <w:r>
              <w:rPr>
                <w:sz w:val="24"/>
              </w:rPr>
              <w:t>Local Enterprise Partnership Strategic Board.</w:t>
            </w:r>
          </w:p>
        </w:tc>
        <w:tc>
          <w:tcPr>
            <w:tcW w:w="3062" w:type="dxa"/>
            <w:tcBorders>
              <w:bottom w:val="nil"/>
            </w:tcBorders>
          </w:tcPr>
          <w:p w14:paraId="0DFBBDDC" w14:textId="77777777" w:rsidR="004C78EF" w:rsidRDefault="005557C1">
            <w:pPr>
              <w:pStyle w:val="TableParagraph"/>
              <w:ind w:left="111" w:right="78"/>
              <w:jc w:val="both"/>
              <w:rPr>
                <w:sz w:val="24"/>
              </w:rPr>
            </w:pPr>
            <w:r>
              <w:rPr>
                <w:sz w:val="24"/>
              </w:rPr>
              <w:t>See report titled: ‘To agree Sect</w:t>
            </w:r>
            <w:r>
              <w:rPr>
                <w:sz w:val="24"/>
              </w:rPr>
              <w:t>or Support Funding Grant Allocations to the Good Food Growth Campaign’ project.</w:t>
            </w:r>
          </w:p>
          <w:p w14:paraId="0DFBBDDD" w14:textId="77777777" w:rsidR="004C78EF" w:rsidRDefault="004C78EF">
            <w:pPr>
              <w:pStyle w:val="TableParagraph"/>
              <w:spacing w:before="6"/>
              <w:rPr>
                <w:i/>
                <w:sz w:val="24"/>
              </w:rPr>
            </w:pPr>
          </w:p>
          <w:p w14:paraId="0DFBBDDE" w14:textId="77777777" w:rsidR="004C78EF" w:rsidRDefault="005557C1">
            <w:pPr>
              <w:pStyle w:val="TableParagraph"/>
              <w:spacing w:line="242" w:lineRule="auto"/>
              <w:ind w:left="111" w:right="84"/>
              <w:jc w:val="both"/>
              <w:rPr>
                <w:sz w:val="24"/>
              </w:rPr>
            </w:pPr>
            <w:r>
              <w:rPr>
                <w:sz w:val="24"/>
              </w:rPr>
              <w:t>Report dated: 24</w:t>
            </w:r>
            <w:r>
              <w:rPr>
                <w:sz w:val="24"/>
                <w:vertAlign w:val="superscript"/>
              </w:rPr>
              <w:t>th</w:t>
            </w:r>
            <w:r>
              <w:rPr>
                <w:sz w:val="24"/>
              </w:rPr>
              <w:t xml:space="preserve"> October 2018</w:t>
            </w:r>
          </w:p>
        </w:tc>
        <w:tc>
          <w:tcPr>
            <w:tcW w:w="3336" w:type="dxa"/>
            <w:tcBorders>
              <w:bottom w:val="nil"/>
            </w:tcBorders>
          </w:tcPr>
          <w:p w14:paraId="0DFBBDDF" w14:textId="77777777" w:rsidR="004C78EF" w:rsidRDefault="005557C1">
            <w:pPr>
              <w:pStyle w:val="TableParagraph"/>
              <w:ind w:left="112"/>
              <w:rPr>
                <w:sz w:val="24"/>
              </w:rPr>
            </w:pPr>
            <w:r>
              <w:rPr>
                <w:sz w:val="24"/>
              </w:rPr>
              <w:t>See supporting report</w:t>
            </w:r>
          </w:p>
        </w:tc>
        <w:tc>
          <w:tcPr>
            <w:tcW w:w="2246" w:type="dxa"/>
            <w:tcBorders>
              <w:bottom w:val="nil"/>
            </w:tcBorders>
          </w:tcPr>
          <w:p w14:paraId="0DFBBDE0" w14:textId="77777777" w:rsidR="004C78EF" w:rsidRDefault="005557C1">
            <w:pPr>
              <w:pStyle w:val="TableParagraph"/>
              <w:ind w:left="108"/>
              <w:rPr>
                <w:sz w:val="24"/>
              </w:rPr>
            </w:pPr>
            <w:r>
              <w:rPr>
                <w:sz w:val="24"/>
              </w:rPr>
              <w:t>None</w:t>
            </w:r>
          </w:p>
        </w:tc>
      </w:tr>
      <w:tr w:rsidR="004C78EF" w14:paraId="0DFBBDE7" w14:textId="77777777">
        <w:trPr>
          <w:trHeight w:val="686"/>
        </w:trPr>
        <w:tc>
          <w:tcPr>
            <w:tcW w:w="1325" w:type="dxa"/>
            <w:tcBorders>
              <w:top w:val="nil"/>
              <w:bottom w:val="nil"/>
            </w:tcBorders>
          </w:tcPr>
          <w:p w14:paraId="0DFBBDE2" w14:textId="77777777" w:rsidR="004C78EF" w:rsidRDefault="004C78EF">
            <w:pPr>
              <w:pStyle w:val="TableParagraph"/>
              <w:rPr>
                <w:rFonts w:ascii="Times New Roman"/>
              </w:rPr>
            </w:pPr>
          </w:p>
        </w:tc>
        <w:tc>
          <w:tcPr>
            <w:tcW w:w="3749" w:type="dxa"/>
            <w:tcBorders>
              <w:top w:val="nil"/>
              <w:bottom w:val="nil"/>
            </w:tcBorders>
          </w:tcPr>
          <w:p w14:paraId="0DFBBDE3" w14:textId="77777777" w:rsidR="004C78EF" w:rsidRDefault="004C78EF">
            <w:pPr>
              <w:pStyle w:val="TableParagraph"/>
              <w:rPr>
                <w:rFonts w:ascii="Times New Roman"/>
              </w:rPr>
            </w:pPr>
          </w:p>
        </w:tc>
        <w:tc>
          <w:tcPr>
            <w:tcW w:w="3062" w:type="dxa"/>
            <w:tcBorders>
              <w:top w:val="nil"/>
              <w:bottom w:val="nil"/>
            </w:tcBorders>
          </w:tcPr>
          <w:p w14:paraId="0DFBBDE4" w14:textId="77777777" w:rsidR="004C78EF" w:rsidRDefault="005557C1">
            <w:pPr>
              <w:pStyle w:val="TableParagraph"/>
              <w:spacing w:line="237" w:lineRule="auto"/>
              <w:ind w:left="111"/>
              <w:rPr>
                <w:sz w:val="24"/>
              </w:rPr>
            </w:pPr>
            <w:r>
              <w:rPr>
                <w:sz w:val="24"/>
              </w:rPr>
              <w:t>Report Author – Rhiannon Mort</w:t>
            </w:r>
          </w:p>
        </w:tc>
        <w:tc>
          <w:tcPr>
            <w:tcW w:w="3336" w:type="dxa"/>
            <w:tcBorders>
              <w:top w:val="nil"/>
              <w:bottom w:val="nil"/>
            </w:tcBorders>
          </w:tcPr>
          <w:p w14:paraId="0DFBBDE5" w14:textId="77777777" w:rsidR="004C78EF" w:rsidRDefault="004C78EF">
            <w:pPr>
              <w:pStyle w:val="TableParagraph"/>
              <w:rPr>
                <w:rFonts w:ascii="Times New Roman"/>
              </w:rPr>
            </w:pPr>
          </w:p>
        </w:tc>
        <w:tc>
          <w:tcPr>
            <w:tcW w:w="2246" w:type="dxa"/>
            <w:tcBorders>
              <w:top w:val="nil"/>
              <w:bottom w:val="nil"/>
            </w:tcBorders>
          </w:tcPr>
          <w:p w14:paraId="0DFBBDE6" w14:textId="77777777" w:rsidR="004C78EF" w:rsidRDefault="004C78EF">
            <w:pPr>
              <w:pStyle w:val="TableParagraph"/>
              <w:rPr>
                <w:rFonts w:ascii="Times New Roman"/>
              </w:rPr>
            </w:pPr>
          </w:p>
        </w:tc>
      </w:tr>
      <w:tr w:rsidR="004C78EF" w14:paraId="0DFBBDED" w14:textId="77777777">
        <w:trPr>
          <w:trHeight w:val="409"/>
        </w:trPr>
        <w:tc>
          <w:tcPr>
            <w:tcW w:w="1325" w:type="dxa"/>
            <w:tcBorders>
              <w:top w:val="nil"/>
            </w:tcBorders>
          </w:tcPr>
          <w:p w14:paraId="0DFBBDE8" w14:textId="77777777" w:rsidR="004C78EF" w:rsidRDefault="004C78EF">
            <w:pPr>
              <w:pStyle w:val="TableParagraph"/>
              <w:rPr>
                <w:rFonts w:ascii="Times New Roman"/>
              </w:rPr>
            </w:pPr>
          </w:p>
        </w:tc>
        <w:tc>
          <w:tcPr>
            <w:tcW w:w="3749" w:type="dxa"/>
            <w:tcBorders>
              <w:top w:val="nil"/>
            </w:tcBorders>
          </w:tcPr>
          <w:p w14:paraId="0DFBBDE9" w14:textId="77777777" w:rsidR="004C78EF" w:rsidRDefault="004C78EF">
            <w:pPr>
              <w:pStyle w:val="TableParagraph"/>
              <w:rPr>
                <w:rFonts w:ascii="Times New Roman"/>
              </w:rPr>
            </w:pPr>
          </w:p>
        </w:tc>
        <w:tc>
          <w:tcPr>
            <w:tcW w:w="3062" w:type="dxa"/>
            <w:tcBorders>
              <w:top w:val="nil"/>
            </w:tcBorders>
          </w:tcPr>
          <w:p w14:paraId="0DFBBDEA" w14:textId="77777777" w:rsidR="004C78EF" w:rsidRDefault="005557C1">
            <w:pPr>
              <w:pStyle w:val="TableParagraph"/>
              <w:spacing w:before="131" w:line="258" w:lineRule="exact"/>
              <w:ind w:left="111"/>
              <w:rPr>
                <w:sz w:val="24"/>
              </w:rPr>
            </w:pPr>
            <w:r>
              <w:rPr>
                <w:sz w:val="24"/>
              </w:rPr>
              <w:t xml:space="preserve">Report published </w:t>
            </w:r>
            <w:hyperlink r:id="rId11">
              <w:r>
                <w:rPr>
                  <w:color w:val="0000FF"/>
                  <w:sz w:val="24"/>
                  <w:u w:val="single" w:color="0000FF"/>
                </w:rPr>
                <w:t>here</w:t>
              </w:r>
            </w:hyperlink>
          </w:p>
        </w:tc>
        <w:tc>
          <w:tcPr>
            <w:tcW w:w="3336" w:type="dxa"/>
            <w:tcBorders>
              <w:top w:val="nil"/>
            </w:tcBorders>
          </w:tcPr>
          <w:p w14:paraId="0DFBBDEB" w14:textId="77777777" w:rsidR="004C78EF" w:rsidRDefault="004C78EF">
            <w:pPr>
              <w:pStyle w:val="TableParagraph"/>
              <w:rPr>
                <w:rFonts w:ascii="Times New Roman"/>
              </w:rPr>
            </w:pPr>
          </w:p>
        </w:tc>
        <w:tc>
          <w:tcPr>
            <w:tcW w:w="2246" w:type="dxa"/>
            <w:tcBorders>
              <w:top w:val="nil"/>
            </w:tcBorders>
          </w:tcPr>
          <w:p w14:paraId="0DFBBDEC" w14:textId="77777777" w:rsidR="004C78EF" w:rsidRDefault="004C78EF">
            <w:pPr>
              <w:pStyle w:val="TableParagraph"/>
              <w:rPr>
                <w:rFonts w:ascii="Times New Roman"/>
              </w:rPr>
            </w:pPr>
          </w:p>
        </w:tc>
      </w:tr>
      <w:tr w:rsidR="004C78EF" w14:paraId="0DFBBDF5" w14:textId="77777777">
        <w:trPr>
          <w:trHeight w:val="2353"/>
        </w:trPr>
        <w:tc>
          <w:tcPr>
            <w:tcW w:w="1325" w:type="dxa"/>
            <w:tcBorders>
              <w:bottom w:val="nil"/>
            </w:tcBorders>
          </w:tcPr>
          <w:p w14:paraId="0DFBBDEE" w14:textId="77777777" w:rsidR="004C78EF" w:rsidRDefault="005557C1">
            <w:pPr>
              <w:pStyle w:val="TableParagraph"/>
              <w:spacing w:before="2" w:line="242" w:lineRule="auto"/>
              <w:ind w:left="105" w:right="82"/>
              <w:rPr>
                <w:sz w:val="24"/>
              </w:rPr>
            </w:pPr>
            <w:r>
              <w:rPr>
                <w:position w:val="-5"/>
                <w:sz w:val="24"/>
              </w:rPr>
              <w:t>6</w:t>
            </w:r>
            <w:proofErr w:type="spellStart"/>
            <w:r>
              <w:rPr>
                <w:sz w:val="16"/>
              </w:rPr>
              <w:t>th</w:t>
            </w:r>
            <w:proofErr w:type="spellEnd"/>
            <w:r>
              <w:rPr>
                <w:sz w:val="16"/>
              </w:rPr>
              <w:t xml:space="preserve"> </w:t>
            </w:r>
            <w:r>
              <w:rPr>
                <w:sz w:val="24"/>
              </w:rPr>
              <w:t>December 2018</w:t>
            </w:r>
          </w:p>
        </w:tc>
        <w:tc>
          <w:tcPr>
            <w:tcW w:w="3749" w:type="dxa"/>
            <w:tcBorders>
              <w:bottom w:val="nil"/>
            </w:tcBorders>
          </w:tcPr>
          <w:p w14:paraId="0DFBBDEF" w14:textId="77777777" w:rsidR="004C78EF" w:rsidRDefault="005557C1">
            <w:pPr>
              <w:pStyle w:val="TableParagraph"/>
              <w:spacing w:before="5"/>
              <w:ind w:left="110" w:right="83"/>
              <w:jc w:val="both"/>
              <w:rPr>
                <w:sz w:val="24"/>
              </w:rPr>
            </w:pPr>
            <w:r>
              <w:rPr>
                <w:sz w:val="24"/>
              </w:rPr>
              <w:t>Managing Director decision to award £60,000 Growing Places Fund Revenue Grant to the Gourmet Garden Trails Project, following endorsement by the South East Local Enterprise Partnership Strategic Board.</w:t>
            </w:r>
          </w:p>
        </w:tc>
        <w:tc>
          <w:tcPr>
            <w:tcW w:w="3062" w:type="dxa"/>
            <w:tcBorders>
              <w:bottom w:val="nil"/>
            </w:tcBorders>
          </w:tcPr>
          <w:p w14:paraId="0DFBBDF0" w14:textId="77777777" w:rsidR="004C78EF" w:rsidRDefault="005557C1">
            <w:pPr>
              <w:pStyle w:val="TableParagraph"/>
              <w:spacing w:before="5"/>
              <w:ind w:left="111" w:right="82"/>
              <w:jc w:val="both"/>
              <w:rPr>
                <w:sz w:val="24"/>
              </w:rPr>
            </w:pPr>
            <w:r>
              <w:rPr>
                <w:sz w:val="24"/>
              </w:rPr>
              <w:t>See report titled: ‘To agree Sector Support Funding Gr</w:t>
            </w:r>
            <w:r>
              <w:rPr>
                <w:sz w:val="24"/>
              </w:rPr>
              <w:t>ant Allocation to Gourmet Garden Trails’ project.</w:t>
            </w:r>
          </w:p>
          <w:p w14:paraId="0DFBBDF1" w14:textId="77777777" w:rsidR="004C78EF" w:rsidRDefault="004C78EF">
            <w:pPr>
              <w:pStyle w:val="TableParagraph"/>
              <w:spacing w:before="7"/>
              <w:rPr>
                <w:i/>
                <w:sz w:val="23"/>
              </w:rPr>
            </w:pPr>
          </w:p>
          <w:p w14:paraId="0DFBBDF2" w14:textId="77777777" w:rsidR="004C78EF" w:rsidRDefault="005557C1">
            <w:pPr>
              <w:pStyle w:val="TableParagraph"/>
              <w:spacing w:before="1" w:line="242" w:lineRule="auto"/>
              <w:ind w:left="111" w:right="84"/>
              <w:jc w:val="both"/>
              <w:rPr>
                <w:sz w:val="24"/>
              </w:rPr>
            </w:pPr>
            <w:r>
              <w:rPr>
                <w:sz w:val="24"/>
              </w:rPr>
              <w:t>Report dated: 10</w:t>
            </w:r>
            <w:r>
              <w:rPr>
                <w:sz w:val="24"/>
                <w:vertAlign w:val="superscript"/>
              </w:rPr>
              <w:t>th</w:t>
            </w:r>
            <w:r>
              <w:rPr>
                <w:sz w:val="24"/>
              </w:rPr>
              <w:t xml:space="preserve"> October 2018</w:t>
            </w:r>
          </w:p>
        </w:tc>
        <w:tc>
          <w:tcPr>
            <w:tcW w:w="3336" w:type="dxa"/>
            <w:tcBorders>
              <w:bottom w:val="nil"/>
            </w:tcBorders>
          </w:tcPr>
          <w:p w14:paraId="0DFBBDF3" w14:textId="77777777" w:rsidR="004C78EF" w:rsidRDefault="005557C1">
            <w:pPr>
              <w:pStyle w:val="TableParagraph"/>
              <w:spacing w:before="5"/>
              <w:ind w:left="112"/>
              <w:rPr>
                <w:sz w:val="24"/>
              </w:rPr>
            </w:pPr>
            <w:r>
              <w:rPr>
                <w:sz w:val="24"/>
              </w:rPr>
              <w:t>See supporting report</w:t>
            </w:r>
          </w:p>
        </w:tc>
        <w:tc>
          <w:tcPr>
            <w:tcW w:w="2246" w:type="dxa"/>
            <w:tcBorders>
              <w:bottom w:val="nil"/>
            </w:tcBorders>
          </w:tcPr>
          <w:p w14:paraId="0DFBBDF4" w14:textId="77777777" w:rsidR="004C78EF" w:rsidRDefault="005557C1">
            <w:pPr>
              <w:pStyle w:val="TableParagraph"/>
              <w:spacing w:before="5"/>
              <w:ind w:left="108"/>
              <w:rPr>
                <w:sz w:val="24"/>
              </w:rPr>
            </w:pPr>
            <w:r>
              <w:rPr>
                <w:sz w:val="24"/>
              </w:rPr>
              <w:t>None</w:t>
            </w:r>
          </w:p>
        </w:tc>
      </w:tr>
      <w:tr w:rsidR="004C78EF" w14:paraId="0DFBBDFB" w14:textId="77777777">
        <w:trPr>
          <w:trHeight w:val="828"/>
        </w:trPr>
        <w:tc>
          <w:tcPr>
            <w:tcW w:w="1325" w:type="dxa"/>
            <w:tcBorders>
              <w:top w:val="nil"/>
              <w:bottom w:val="nil"/>
            </w:tcBorders>
          </w:tcPr>
          <w:p w14:paraId="0DFBBDF6" w14:textId="77777777" w:rsidR="004C78EF" w:rsidRDefault="004C78EF">
            <w:pPr>
              <w:pStyle w:val="TableParagraph"/>
              <w:rPr>
                <w:rFonts w:ascii="Times New Roman"/>
              </w:rPr>
            </w:pPr>
          </w:p>
        </w:tc>
        <w:tc>
          <w:tcPr>
            <w:tcW w:w="3749" w:type="dxa"/>
            <w:tcBorders>
              <w:top w:val="nil"/>
              <w:bottom w:val="nil"/>
            </w:tcBorders>
          </w:tcPr>
          <w:p w14:paraId="0DFBBDF7" w14:textId="77777777" w:rsidR="004C78EF" w:rsidRDefault="004C78EF">
            <w:pPr>
              <w:pStyle w:val="TableParagraph"/>
              <w:rPr>
                <w:rFonts w:ascii="Times New Roman"/>
              </w:rPr>
            </w:pPr>
          </w:p>
        </w:tc>
        <w:tc>
          <w:tcPr>
            <w:tcW w:w="3062" w:type="dxa"/>
            <w:tcBorders>
              <w:top w:val="nil"/>
              <w:bottom w:val="nil"/>
            </w:tcBorders>
          </w:tcPr>
          <w:p w14:paraId="0DFBBDF8" w14:textId="77777777" w:rsidR="004C78EF" w:rsidRDefault="005557C1">
            <w:pPr>
              <w:pStyle w:val="TableParagraph"/>
              <w:spacing w:before="134" w:line="242" w:lineRule="auto"/>
              <w:ind w:left="111"/>
              <w:rPr>
                <w:sz w:val="24"/>
              </w:rPr>
            </w:pPr>
            <w:r>
              <w:rPr>
                <w:sz w:val="24"/>
              </w:rPr>
              <w:t>Report Author: Rhiannon Mort</w:t>
            </w:r>
          </w:p>
        </w:tc>
        <w:tc>
          <w:tcPr>
            <w:tcW w:w="3336" w:type="dxa"/>
            <w:tcBorders>
              <w:top w:val="nil"/>
              <w:bottom w:val="nil"/>
            </w:tcBorders>
          </w:tcPr>
          <w:p w14:paraId="0DFBBDF9" w14:textId="77777777" w:rsidR="004C78EF" w:rsidRDefault="004C78EF">
            <w:pPr>
              <w:pStyle w:val="TableParagraph"/>
              <w:rPr>
                <w:rFonts w:ascii="Times New Roman"/>
              </w:rPr>
            </w:pPr>
          </w:p>
        </w:tc>
        <w:tc>
          <w:tcPr>
            <w:tcW w:w="2246" w:type="dxa"/>
            <w:tcBorders>
              <w:top w:val="nil"/>
              <w:bottom w:val="nil"/>
            </w:tcBorders>
          </w:tcPr>
          <w:p w14:paraId="0DFBBDFA" w14:textId="77777777" w:rsidR="004C78EF" w:rsidRDefault="004C78EF">
            <w:pPr>
              <w:pStyle w:val="TableParagraph"/>
              <w:rPr>
                <w:rFonts w:ascii="Times New Roman"/>
              </w:rPr>
            </w:pPr>
          </w:p>
        </w:tc>
      </w:tr>
      <w:tr w:rsidR="004C78EF" w14:paraId="0DFBBE01" w14:textId="77777777">
        <w:trPr>
          <w:trHeight w:val="409"/>
        </w:trPr>
        <w:tc>
          <w:tcPr>
            <w:tcW w:w="1325" w:type="dxa"/>
            <w:tcBorders>
              <w:top w:val="nil"/>
            </w:tcBorders>
          </w:tcPr>
          <w:p w14:paraId="0DFBBDFC" w14:textId="77777777" w:rsidR="004C78EF" w:rsidRDefault="004C78EF">
            <w:pPr>
              <w:pStyle w:val="TableParagraph"/>
              <w:rPr>
                <w:rFonts w:ascii="Times New Roman"/>
              </w:rPr>
            </w:pPr>
          </w:p>
        </w:tc>
        <w:tc>
          <w:tcPr>
            <w:tcW w:w="3749" w:type="dxa"/>
            <w:tcBorders>
              <w:top w:val="nil"/>
            </w:tcBorders>
          </w:tcPr>
          <w:p w14:paraId="0DFBBDFD" w14:textId="77777777" w:rsidR="004C78EF" w:rsidRDefault="004C78EF">
            <w:pPr>
              <w:pStyle w:val="TableParagraph"/>
              <w:rPr>
                <w:rFonts w:ascii="Times New Roman"/>
              </w:rPr>
            </w:pPr>
          </w:p>
        </w:tc>
        <w:tc>
          <w:tcPr>
            <w:tcW w:w="3062" w:type="dxa"/>
            <w:tcBorders>
              <w:top w:val="nil"/>
            </w:tcBorders>
          </w:tcPr>
          <w:p w14:paraId="0DFBBDFE" w14:textId="77777777" w:rsidR="004C78EF" w:rsidRDefault="005557C1">
            <w:pPr>
              <w:pStyle w:val="TableParagraph"/>
              <w:spacing w:before="131" w:line="258" w:lineRule="exact"/>
              <w:ind w:left="111"/>
              <w:rPr>
                <w:sz w:val="24"/>
              </w:rPr>
            </w:pPr>
            <w:r>
              <w:rPr>
                <w:sz w:val="24"/>
              </w:rPr>
              <w:t xml:space="preserve">Report published </w:t>
            </w:r>
            <w:hyperlink r:id="rId12">
              <w:r>
                <w:rPr>
                  <w:color w:val="0000FF"/>
                  <w:sz w:val="24"/>
                  <w:u w:val="single" w:color="0000FF"/>
                </w:rPr>
                <w:t>here</w:t>
              </w:r>
            </w:hyperlink>
          </w:p>
        </w:tc>
        <w:tc>
          <w:tcPr>
            <w:tcW w:w="3336" w:type="dxa"/>
            <w:tcBorders>
              <w:top w:val="nil"/>
            </w:tcBorders>
          </w:tcPr>
          <w:p w14:paraId="0DFBBDFF" w14:textId="77777777" w:rsidR="004C78EF" w:rsidRDefault="004C78EF">
            <w:pPr>
              <w:pStyle w:val="TableParagraph"/>
              <w:rPr>
                <w:rFonts w:ascii="Times New Roman"/>
              </w:rPr>
            </w:pPr>
          </w:p>
        </w:tc>
        <w:tc>
          <w:tcPr>
            <w:tcW w:w="2246" w:type="dxa"/>
            <w:tcBorders>
              <w:top w:val="nil"/>
            </w:tcBorders>
          </w:tcPr>
          <w:p w14:paraId="0DFBBE00" w14:textId="77777777" w:rsidR="004C78EF" w:rsidRDefault="004C78EF">
            <w:pPr>
              <w:pStyle w:val="TableParagraph"/>
              <w:rPr>
                <w:rFonts w:ascii="Times New Roman"/>
              </w:rPr>
            </w:pPr>
          </w:p>
        </w:tc>
      </w:tr>
      <w:tr w:rsidR="004C78EF" w14:paraId="0DFBBE07" w14:textId="77777777">
        <w:trPr>
          <w:trHeight w:val="556"/>
        </w:trPr>
        <w:tc>
          <w:tcPr>
            <w:tcW w:w="1325" w:type="dxa"/>
          </w:tcPr>
          <w:p w14:paraId="0DFBBE02" w14:textId="77777777" w:rsidR="004C78EF" w:rsidRDefault="005557C1">
            <w:pPr>
              <w:pStyle w:val="TableParagraph"/>
              <w:spacing w:before="2" w:line="270" w:lineRule="atLeast"/>
              <w:ind w:left="105" w:right="82"/>
              <w:rPr>
                <w:sz w:val="24"/>
              </w:rPr>
            </w:pPr>
            <w:r>
              <w:rPr>
                <w:position w:val="-5"/>
                <w:sz w:val="24"/>
              </w:rPr>
              <w:t>12</w:t>
            </w:r>
            <w:proofErr w:type="spellStart"/>
            <w:r>
              <w:rPr>
                <w:sz w:val="16"/>
              </w:rPr>
              <w:t>th</w:t>
            </w:r>
            <w:proofErr w:type="spellEnd"/>
            <w:r>
              <w:rPr>
                <w:sz w:val="16"/>
              </w:rPr>
              <w:t xml:space="preserve"> </w:t>
            </w:r>
            <w:r>
              <w:rPr>
                <w:sz w:val="24"/>
              </w:rPr>
              <w:t>December</w:t>
            </w:r>
          </w:p>
        </w:tc>
        <w:tc>
          <w:tcPr>
            <w:tcW w:w="3749" w:type="dxa"/>
          </w:tcPr>
          <w:p w14:paraId="0DFBBE03" w14:textId="77777777" w:rsidR="004C78EF" w:rsidRDefault="005557C1">
            <w:pPr>
              <w:pStyle w:val="TableParagraph"/>
              <w:spacing w:before="3" w:line="278" w:lineRule="exact"/>
              <w:ind w:left="110"/>
              <w:rPr>
                <w:sz w:val="24"/>
              </w:rPr>
            </w:pPr>
            <w:r>
              <w:rPr>
                <w:sz w:val="24"/>
              </w:rPr>
              <w:t>Managing Director decision to award £156,000 Growing Places</w:t>
            </w:r>
          </w:p>
        </w:tc>
        <w:tc>
          <w:tcPr>
            <w:tcW w:w="3062" w:type="dxa"/>
          </w:tcPr>
          <w:p w14:paraId="0DFBBE04" w14:textId="77777777" w:rsidR="004C78EF" w:rsidRDefault="005557C1">
            <w:pPr>
              <w:pStyle w:val="TableParagraph"/>
              <w:tabs>
                <w:tab w:val="left" w:pos="1028"/>
                <w:tab w:val="left" w:pos="2089"/>
              </w:tabs>
              <w:spacing w:before="3" w:line="278" w:lineRule="exact"/>
              <w:ind w:left="111" w:right="103"/>
              <w:rPr>
                <w:sz w:val="24"/>
              </w:rPr>
            </w:pPr>
            <w:r>
              <w:rPr>
                <w:sz w:val="24"/>
              </w:rPr>
              <w:t>See report titled: ‘To</w:t>
            </w:r>
            <w:r>
              <w:rPr>
                <w:spacing w:val="-29"/>
                <w:sz w:val="24"/>
              </w:rPr>
              <w:t xml:space="preserve"> </w:t>
            </w:r>
            <w:r>
              <w:rPr>
                <w:sz w:val="24"/>
              </w:rPr>
              <w:t>agree Sector</w:t>
            </w:r>
            <w:r>
              <w:rPr>
                <w:sz w:val="24"/>
              </w:rPr>
              <w:tab/>
              <w:t>Support</w:t>
            </w:r>
            <w:r>
              <w:rPr>
                <w:sz w:val="24"/>
              </w:rPr>
              <w:tab/>
            </w:r>
            <w:r>
              <w:rPr>
                <w:spacing w:val="-5"/>
                <w:sz w:val="24"/>
              </w:rPr>
              <w:t>Funding</w:t>
            </w:r>
          </w:p>
        </w:tc>
        <w:tc>
          <w:tcPr>
            <w:tcW w:w="3336" w:type="dxa"/>
          </w:tcPr>
          <w:p w14:paraId="0DFBBE05" w14:textId="77777777" w:rsidR="004C78EF" w:rsidRDefault="005557C1">
            <w:pPr>
              <w:pStyle w:val="TableParagraph"/>
              <w:ind w:left="112"/>
              <w:rPr>
                <w:sz w:val="24"/>
              </w:rPr>
            </w:pPr>
            <w:r>
              <w:rPr>
                <w:sz w:val="24"/>
              </w:rPr>
              <w:t>See supporting report</w:t>
            </w:r>
          </w:p>
        </w:tc>
        <w:tc>
          <w:tcPr>
            <w:tcW w:w="2246" w:type="dxa"/>
          </w:tcPr>
          <w:p w14:paraId="0DFBBE06" w14:textId="77777777" w:rsidR="004C78EF" w:rsidRDefault="005557C1">
            <w:pPr>
              <w:pStyle w:val="TableParagraph"/>
              <w:ind w:left="108"/>
              <w:rPr>
                <w:sz w:val="24"/>
              </w:rPr>
            </w:pPr>
            <w:r>
              <w:rPr>
                <w:sz w:val="24"/>
              </w:rPr>
              <w:t>None</w:t>
            </w:r>
          </w:p>
        </w:tc>
      </w:tr>
    </w:tbl>
    <w:p w14:paraId="0DFBBE08" w14:textId="77777777" w:rsidR="004C78EF" w:rsidRDefault="004C78EF">
      <w:pPr>
        <w:rPr>
          <w:sz w:val="24"/>
        </w:rPr>
        <w:sectPr w:rsidR="004C78EF">
          <w:pgSz w:w="16850" w:h="11920" w:orient="landscape"/>
          <w:pgMar w:top="104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3749"/>
        <w:gridCol w:w="3062"/>
        <w:gridCol w:w="3336"/>
        <w:gridCol w:w="2246"/>
      </w:tblGrid>
      <w:tr w:rsidR="004C78EF" w14:paraId="0DFBBE14" w14:textId="77777777">
        <w:trPr>
          <w:trHeight w:val="3313"/>
        </w:trPr>
        <w:tc>
          <w:tcPr>
            <w:tcW w:w="1325" w:type="dxa"/>
          </w:tcPr>
          <w:p w14:paraId="0DFBBE09" w14:textId="77777777" w:rsidR="004C78EF" w:rsidRDefault="005557C1">
            <w:pPr>
              <w:pStyle w:val="TableParagraph"/>
              <w:ind w:left="105"/>
              <w:rPr>
                <w:sz w:val="24"/>
              </w:rPr>
            </w:pPr>
            <w:r>
              <w:rPr>
                <w:sz w:val="24"/>
              </w:rPr>
              <w:lastRenderedPageBreak/>
              <w:t>2018</w:t>
            </w:r>
          </w:p>
        </w:tc>
        <w:tc>
          <w:tcPr>
            <w:tcW w:w="3749" w:type="dxa"/>
          </w:tcPr>
          <w:p w14:paraId="0DFBBE0A" w14:textId="77777777" w:rsidR="004C78EF" w:rsidRDefault="005557C1">
            <w:pPr>
              <w:pStyle w:val="TableParagraph"/>
              <w:ind w:left="110" w:right="79"/>
              <w:jc w:val="both"/>
              <w:rPr>
                <w:sz w:val="24"/>
              </w:rPr>
            </w:pPr>
            <w:r>
              <w:rPr>
                <w:sz w:val="24"/>
              </w:rPr>
              <w:t>Fund Revenue Grant to Maidstone Borough Council to support the delivery of the Kent Medical Campus Innovation Centre Design Costs project, following endorsement by the South East Local Enterprise Partnership Strategic Board.</w:t>
            </w:r>
          </w:p>
        </w:tc>
        <w:tc>
          <w:tcPr>
            <w:tcW w:w="3062" w:type="dxa"/>
          </w:tcPr>
          <w:p w14:paraId="0DFBBE0B" w14:textId="77777777" w:rsidR="004C78EF" w:rsidRDefault="005557C1">
            <w:pPr>
              <w:pStyle w:val="TableParagraph"/>
              <w:ind w:left="111" w:right="78"/>
              <w:jc w:val="both"/>
              <w:rPr>
                <w:sz w:val="24"/>
              </w:rPr>
            </w:pPr>
            <w:r>
              <w:rPr>
                <w:sz w:val="24"/>
              </w:rPr>
              <w:t xml:space="preserve">Grant Allocations </w:t>
            </w:r>
            <w:r>
              <w:rPr>
                <w:spacing w:val="-6"/>
                <w:sz w:val="24"/>
              </w:rPr>
              <w:t xml:space="preserve">to </w:t>
            </w:r>
            <w:r>
              <w:rPr>
                <w:sz w:val="24"/>
              </w:rPr>
              <w:t xml:space="preserve">Maidstone </w:t>
            </w:r>
            <w:r>
              <w:rPr>
                <w:sz w:val="24"/>
              </w:rPr>
              <w:t>Enterprise Zone Innovation Centre Design Costs’</w:t>
            </w:r>
            <w:r>
              <w:rPr>
                <w:spacing w:val="-1"/>
                <w:sz w:val="24"/>
              </w:rPr>
              <w:t xml:space="preserve"> </w:t>
            </w:r>
            <w:r>
              <w:rPr>
                <w:sz w:val="24"/>
              </w:rPr>
              <w:t>project.</w:t>
            </w:r>
          </w:p>
          <w:p w14:paraId="0DFBBE0C" w14:textId="77777777" w:rsidR="004C78EF" w:rsidRDefault="004C78EF">
            <w:pPr>
              <w:pStyle w:val="TableParagraph"/>
              <w:spacing w:before="3"/>
              <w:rPr>
                <w:i/>
                <w:sz w:val="24"/>
              </w:rPr>
            </w:pPr>
          </w:p>
          <w:p w14:paraId="0DFBBE0D" w14:textId="77777777" w:rsidR="004C78EF" w:rsidRDefault="005557C1">
            <w:pPr>
              <w:pStyle w:val="TableParagraph"/>
              <w:spacing w:line="242" w:lineRule="auto"/>
              <w:ind w:left="111" w:right="84"/>
              <w:jc w:val="both"/>
              <w:rPr>
                <w:sz w:val="24"/>
              </w:rPr>
            </w:pPr>
            <w:r>
              <w:rPr>
                <w:sz w:val="24"/>
              </w:rPr>
              <w:t>Report dated: 25</w:t>
            </w:r>
            <w:r>
              <w:rPr>
                <w:sz w:val="24"/>
                <w:vertAlign w:val="superscript"/>
              </w:rPr>
              <w:t>th</w:t>
            </w:r>
            <w:r>
              <w:rPr>
                <w:sz w:val="24"/>
              </w:rPr>
              <w:t xml:space="preserve"> October 2018</w:t>
            </w:r>
          </w:p>
          <w:p w14:paraId="0DFBBE0E" w14:textId="77777777" w:rsidR="004C78EF" w:rsidRDefault="004C78EF">
            <w:pPr>
              <w:pStyle w:val="TableParagraph"/>
              <w:spacing w:before="9"/>
              <w:rPr>
                <w:i/>
                <w:sz w:val="23"/>
              </w:rPr>
            </w:pPr>
          </w:p>
          <w:p w14:paraId="0DFBBE0F" w14:textId="77777777" w:rsidR="004C78EF" w:rsidRDefault="005557C1">
            <w:pPr>
              <w:pStyle w:val="TableParagraph"/>
              <w:spacing w:line="242" w:lineRule="auto"/>
              <w:ind w:left="111" w:right="79"/>
              <w:jc w:val="both"/>
              <w:rPr>
                <w:sz w:val="24"/>
              </w:rPr>
            </w:pPr>
            <w:r>
              <w:rPr>
                <w:sz w:val="24"/>
              </w:rPr>
              <w:t>Report Author: Rhiannon Mort</w:t>
            </w:r>
          </w:p>
          <w:p w14:paraId="0DFBBE10" w14:textId="77777777" w:rsidR="004C78EF" w:rsidRDefault="004C78EF">
            <w:pPr>
              <w:pStyle w:val="TableParagraph"/>
              <w:spacing w:before="4"/>
              <w:rPr>
                <w:i/>
                <w:sz w:val="23"/>
              </w:rPr>
            </w:pPr>
          </w:p>
          <w:p w14:paraId="0DFBBE11" w14:textId="77777777" w:rsidR="004C78EF" w:rsidRDefault="005557C1">
            <w:pPr>
              <w:pStyle w:val="TableParagraph"/>
              <w:spacing w:line="253" w:lineRule="exact"/>
              <w:ind w:left="111"/>
              <w:jc w:val="both"/>
              <w:rPr>
                <w:sz w:val="24"/>
              </w:rPr>
            </w:pPr>
            <w:r>
              <w:rPr>
                <w:sz w:val="24"/>
              </w:rPr>
              <w:t xml:space="preserve">Report published </w:t>
            </w:r>
            <w:hyperlink r:id="rId13">
              <w:r>
                <w:rPr>
                  <w:color w:val="0000FF"/>
                  <w:sz w:val="24"/>
                  <w:u w:val="single" w:color="0000FF"/>
                </w:rPr>
                <w:t>here</w:t>
              </w:r>
            </w:hyperlink>
          </w:p>
        </w:tc>
        <w:tc>
          <w:tcPr>
            <w:tcW w:w="3336" w:type="dxa"/>
          </w:tcPr>
          <w:p w14:paraId="0DFBBE12" w14:textId="77777777" w:rsidR="004C78EF" w:rsidRDefault="004C78EF">
            <w:pPr>
              <w:pStyle w:val="TableParagraph"/>
              <w:rPr>
                <w:rFonts w:ascii="Times New Roman"/>
              </w:rPr>
            </w:pPr>
          </w:p>
        </w:tc>
        <w:tc>
          <w:tcPr>
            <w:tcW w:w="2246" w:type="dxa"/>
          </w:tcPr>
          <w:p w14:paraId="0DFBBE13" w14:textId="77777777" w:rsidR="004C78EF" w:rsidRDefault="004C78EF">
            <w:pPr>
              <w:pStyle w:val="TableParagraph"/>
              <w:rPr>
                <w:rFonts w:ascii="Times New Roman"/>
              </w:rPr>
            </w:pPr>
          </w:p>
        </w:tc>
      </w:tr>
      <w:tr w:rsidR="004C78EF" w14:paraId="0DFBBE1C" w14:textId="77777777">
        <w:trPr>
          <w:trHeight w:val="3462"/>
        </w:trPr>
        <w:tc>
          <w:tcPr>
            <w:tcW w:w="1325" w:type="dxa"/>
            <w:tcBorders>
              <w:bottom w:val="nil"/>
            </w:tcBorders>
          </w:tcPr>
          <w:p w14:paraId="0DFBBE15" w14:textId="77777777" w:rsidR="004C78EF" w:rsidRDefault="005557C1">
            <w:pPr>
              <w:pStyle w:val="TableParagraph"/>
              <w:spacing w:before="7"/>
              <w:ind w:left="105" w:right="82"/>
              <w:rPr>
                <w:sz w:val="24"/>
              </w:rPr>
            </w:pPr>
            <w:r>
              <w:rPr>
                <w:position w:val="-5"/>
                <w:sz w:val="24"/>
              </w:rPr>
              <w:t>6</w:t>
            </w:r>
            <w:proofErr w:type="spellStart"/>
            <w:r>
              <w:rPr>
                <w:sz w:val="16"/>
              </w:rPr>
              <w:t>th</w:t>
            </w:r>
            <w:proofErr w:type="spellEnd"/>
            <w:r>
              <w:rPr>
                <w:sz w:val="16"/>
              </w:rPr>
              <w:t xml:space="preserve"> </w:t>
            </w:r>
            <w:r>
              <w:rPr>
                <w:sz w:val="24"/>
              </w:rPr>
              <w:t>December 2018</w:t>
            </w:r>
          </w:p>
        </w:tc>
        <w:tc>
          <w:tcPr>
            <w:tcW w:w="3749" w:type="dxa"/>
            <w:tcBorders>
              <w:bottom w:val="nil"/>
            </w:tcBorders>
          </w:tcPr>
          <w:p w14:paraId="0DFBBE16" w14:textId="77777777" w:rsidR="004C78EF" w:rsidRDefault="005557C1">
            <w:pPr>
              <w:pStyle w:val="TableParagraph"/>
              <w:spacing w:before="5"/>
              <w:ind w:left="110" w:right="78"/>
              <w:jc w:val="both"/>
              <w:rPr>
                <w:sz w:val="24"/>
              </w:rPr>
            </w:pPr>
            <w:r>
              <w:rPr>
                <w:sz w:val="24"/>
              </w:rPr>
              <w:t xml:space="preserve">Managing Director decision to award £96,000 Growing Places Fund Revenue Grant to East Sussex County Council to support the delivery of the Planning and prioritising future skills, </w:t>
            </w:r>
            <w:proofErr w:type="gramStart"/>
            <w:r>
              <w:rPr>
                <w:sz w:val="24"/>
              </w:rPr>
              <w:t>training</w:t>
            </w:r>
            <w:proofErr w:type="gramEnd"/>
            <w:r>
              <w:rPr>
                <w:sz w:val="24"/>
              </w:rPr>
              <w:t xml:space="preserve"> and business support needs for the rural businesses of SELEP projec</w:t>
            </w:r>
            <w:r>
              <w:rPr>
                <w:sz w:val="24"/>
              </w:rPr>
              <w:t>t, following endorsement by the South East Local Enterprise Partnership Strategic</w:t>
            </w:r>
            <w:r>
              <w:rPr>
                <w:spacing w:val="-32"/>
                <w:sz w:val="24"/>
              </w:rPr>
              <w:t xml:space="preserve"> </w:t>
            </w:r>
            <w:r>
              <w:rPr>
                <w:sz w:val="24"/>
              </w:rPr>
              <w:t>Board.</w:t>
            </w:r>
          </w:p>
        </w:tc>
        <w:tc>
          <w:tcPr>
            <w:tcW w:w="3062" w:type="dxa"/>
            <w:tcBorders>
              <w:bottom w:val="nil"/>
            </w:tcBorders>
          </w:tcPr>
          <w:p w14:paraId="0DFBBE17" w14:textId="77777777" w:rsidR="004C78EF" w:rsidRDefault="005557C1">
            <w:pPr>
              <w:pStyle w:val="TableParagraph"/>
              <w:tabs>
                <w:tab w:val="left" w:pos="2252"/>
              </w:tabs>
              <w:spacing w:before="5"/>
              <w:ind w:left="111" w:right="77"/>
              <w:jc w:val="both"/>
              <w:rPr>
                <w:sz w:val="24"/>
              </w:rPr>
            </w:pPr>
            <w:r>
              <w:rPr>
                <w:sz w:val="24"/>
              </w:rPr>
              <w:t xml:space="preserve">See report titled: ‘To agree Sector Support Funding Grant Allocations for the project titles “Planning and prioritising future </w:t>
            </w:r>
            <w:r>
              <w:rPr>
                <w:spacing w:val="-3"/>
                <w:sz w:val="24"/>
              </w:rPr>
              <w:t xml:space="preserve">skills, </w:t>
            </w:r>
            <w:proofErr w:type="gramStart"/>
            <w:r>
              <w:rPr>
                <w:sz w:val="24"/>
              </w:rPr>
              <w:t>training</w:t>
            </w:r>
            <w:proofErr w:type="gramEnd"/>
            <w:r>
              <w:rPr>
                <w:sz w:val="24"/>
              </w:rPr>
              <w:t xml:space="preserve"> and business support ne</w:t>
            </w:r>
            <w:r>
              <w:rPr>
                <w:sz w:val="24"/>
              </w:rPr>
              <w:t>eds for rural businesses</w:t>
            </w:r>
            <w:r>
              <w:rPr>
                <w:sz w:val="24"/>
              </w:rPr>
              <w:tab/>
              <w:t>across SELEP”’.</w:t>
            </w:r>
          </w:p>
          <w:p w14:paraId="0DFBBE18" w14:textId="77777777" w:rsidR="004C78EF" w:rsidRDefault="004C78EF">
            <w:pPr>
              <w:pStyle w:val="TableParagraph"/>
              <w:spacing w:before="1"/>
              <w:rPr>
                <w:i/>
                <w:sz w:val="24"/>
              </w:rPr>
            </w:pPr>
          </w:p>
          <w:p w14:paraId="0DFBBE19" w14:textId="77777777" w:rsidR="004C78EF" w:rsidRDefault="005557C1">
            <w:pPr>
              <w:pStyle w:val="TableParagraph"/>
              <w:spacing w:line="242" w:lineRule="auto"/>
              <w:ind w:left="111" w:right="84"/>
              <w:jc w:val="both"/>
              <w:rPr>
                <w:sz w:val="24"/>
              </w:rPr>
            </w:pPr>
            <w:r>
              <w:rPr>
                <w:sz w:val="24"/>
              </w:rPr>
              <w:t>Report dated: 22</w:t>
            </w:r>
            <w:r>
              <w:rPr>
                <w:sz w:val="24"/>
                <w:vertAlign w:val="superscript"/>
              </w:rPr>
              <w:t>nd</w:t>
            </w:r>
            <w:r>
              <w:rPr>
                <w:spacing w:val="-43"/>
                <w:sz w:val="24"/>
              </w:rPr>
              <w:t xml:space="preserve"> </w:t>
            </w:r>
            <w:r>
              <w:rPr>
                <w:sz w:val="24"/>
              </w:rPr>
              <w:t>October 2018</w:t>
            </w:r>
          </w:p>
        </w:tc>
        <w:tc>
          <w:tcPr>
            <w:tcW w:w="3336" w:type="dxa"/>
            <w:tcBorders>
              <w:bottom w:val="nil"/>
            </w:tcBorders>
          </w:tcPr>
          <w:p w14:paraId="0DFBBE1A" w14:textId="77777777" w:rsidR="004C78EF" w:rsidRDefault="005557C1">
            <w:pPr>
              <w:pStyle w:val="TableParagraph"/>
              <w:spacing w:before="5"/>
              <w:ind w:left="112"/>
              <w:rPr>
                <w:sz w:val="24"/>
              </w:rPr>
            </w:pPr>
            <w:r>
              <w:rPr>
                <w:sz w:val="24"/>
              </w:rPr>
              <w:t>See supporting report</w:t>
            </w:r>
          </w:p>
        </w:tc>
        <w:tc>
          <w:tcPr>
            <w:tcW w:w="2246" w:type="dxa"/>
            <w:tcBorders>
              <w:bottom w:val="nil"/>
            </w:tcBorders>
          </w:tcPr>
          <w:p w14:paraId="0DFBBE1B" w14:textId="77777777" w:rsidR="004C78EF" w:rsidRDefault="005557C1">
            <w:pPr>
              <w:pStyle w:val="TableParagraph"/>
              <w:spacing w:before="5"/>
              <w:ind w:left="108"/>
              <w:rPr>
                <w:sz w:val="24"/>
              </w:rPr>
            </w:pPr>
            <w:r>
              <w:rPr>
                <w:sz w:val="24"/>
              </w:rPr>
              <w:t>None</w:t>
            </w:r>
          </w:p>
        </w:tc>
      </w:tr>
      <w:tr w:rsidR="004C78EF" w14:paraId="0DFBBE22" w14:textId="77777777">
        <w:trPr>
          <w:trHeight w:val="823"/>
        </w:trPr>
        <w:tc>
          <w:tcPr>
            <w:tcW w:w="1325" w:type="dxa"/>
            <w:tcBorders>
              <w:top w:val="nil"/>
              <w:bottom w:val="nil"/>
            </w:tcBorders>
          </w:tcPr>
          <w:p w14:paraId="0DFBBE1D" w14:textId="77777777" w:rsidR="004C78EF" w:rsidRDefault="004C78EF">
            <w:pPr>
              <w:pStyle w:val="TableParagraph"/>
              <w:rPr>
                <w:rFonts w:ascii="Times New Roman"/>
              </w:rPr>
            </w:pPr>
          </w:p>
        </w:tc>
        <w:tc>
          <w:tcPr>
            <w:tcW w:w="3749" w:type="dxa"/>
            <w:tcBorders>
              <w:top w:val="nil"/>
              <w:bottom w:val="nil"/>
            </w:tcBorders>
          </w:tcPr>
          <w:p w14:paraId="0DFBBE1E" w14:textId="77777777" w:rsidR="004C78EF" w:rsidRDefault="004C78EF">
            <w:pPr>
              <w:pStyle w:val="TableParagraph"/>
              <w:rPr>
                <w:rFonts w:ascii="Times New Roman"/>
              </w:rPr>
            </w:pPr>
          </w:p>
        </w:tc>
        <w:tc>
          <w:tcPr>
            <w:tcW w:w="3062" w:type="dxa"/>
            <w:tcBorders>
              <w:top w:val="nil"/>
              <w:bottom w:val="nil"/>
            </w:tcBorders>
          </w:tcPr>
          <w:p w14:paraId="0DFBBE1F" w14:textId="77777777" w:rsidR="004C78EF" w:rsidRDefault="005557C1">
            <w:pPr>
              <w:pStyle w:val="TableParagraph"/>
              <w:spacing w:before="136" w:line="237" w:lineRule="auto"/>
              <w:ind w:left="111"/>
              <w:rPr>
                <w:sz w:val="24"/>
              </w:rPr>
            </w:pPr>
            <w:r>
              <w:rPr>
                <w:sz w:val="24"/>
              </w:rPr>
              <w:t>Report Author: Rhiannon Mort</w:t>
            </w:r>
          </w:p>
        </w:tc>
        <w:tc>
          <w:tcPr>
            <w:tcW w:w="3336" w:type="dxa"/>
            <w:tcBorders>
              <w:top w:val="nil"/>
              <w:bottom w:val="nil"/>
            </w:tcBorders>
          </w:tcPr>
          <w:p w14:paraId="0DFBBE20" w14:textId="77777777" w:rsidR="004C78EF" w:rsidRDefault="004C78EF">
            <w:pPr>
              <w:pStyle w:val="TableParagraph"/>
              <w:rPr>
                <w:rFonts w:ascii="Times New Roman"/>
              </w:rPr>
            </w:pPr>
          </w:p>
        </w:tc>
        <w:tc>
          <w:tcPr>
            <w:tcW w:w="2246" w:type="dxa"/>
            <w:tcBorders>
              <w:top w:val="nil"/>
              <w:bottom w:val="nil"/>
            </w:tcBorders>
          </w:tcPr>
          <w:p w14:paraId="0DFBBE21" w14:textId="77777777" w:rsidR="004C78EF" w:rsidRDefault="004C78EF">
            <w:pPr>
              <w:pStyle w:val="TableParagraph"/>
              <w:rPr>
                <w:rFonts w:ascii="Times New Roman"/>
              </w:rPr>
            </w:pPr>
          </w:p>
        </w:tc>
      </w:tr>
      <w:tr w:rsidR="004C78EF" w14:paraId="0DFBBE28" w14:textId="77777777">
        <w:trPr>
          <w:trHeight w:val="414"/>
        </w:trPr>
        <w:tc>
          <w:tcPr>
            <w:tcW w:w="1325" w:type="dxa"/>
            <w:tcBorders>
              <w:top w:val="nil"/>
            </w:tcBorders>
          </w:tcPr>
          <w:p w14:paraId="0DFBBE23" w14:textId="77777777" w:rsidR="004C78EF" w:rsidRDefault="004C78EF">
            <w:pPr>
              <w:pStyle w:val="TableParagraph"/>
              <w:rPr>
                <w:rFonts w:ascii="Times New Roman"/>
              </w:rPr>
            </w:pPr>
          </w:p>
        </w:tc>
        <w:tc>
          <w:tcPr>
            <w:tcW w:w="3749" w:type="dxa"/>
            <w:tcBorders>
              <w:top w:val="nil"/>
            </w:tcBorders>
          </w:tcPr>
          <w:p w14:paraId="0DFBBE24" w14:textId="77777777" w:rsidR="004C78EF" w:rsidRDefault="004C78EF">
            <w:pPr>
              <w:pStyle w:val="TableParagraph"/>
              <w:rPr>
                <w:rFonts w:ascii="Times New Roman"/>
              </w:rPr>
            </w:pPr>
          </w:p>
        </w:tc>
        <w:tc>
          <w:tcPr>
            <w:tcW w:w="3062" w:type="dxa"/>
            <w:tcBorders>
              <w:top w:val="nil"/>
            </w:tcBorders>
          </w:tcPr>
          <w:p w14:paraId="0DFBBE25" w14:textId="77777777" w:rsidR="004C78EF" w:rsidRDefault="005557C1">
            <w:pPr>
              <w:pStyle w:val="TableParagraph"/>
              <w:spacing w:before="132" w:line="263" w:lineRule="exact"/>
              <w:ind w:left="111"/>
              <w:rPr>
                <w:sz w:val="24"/>
              </w:rPr>
            </w:pPr>
            <w:r>
              <w:rPr>
                <w:sz w:val="24"/>
              </w:rPr>
              <w:t xml:space="preserve">Report published </w:t>
            </w:r>
            <w:hyperlink r:id="rId14">
              <w:r>
                <w:rPr>
                  <w:color w:val="0000FF"/>
                  <w:sz w:val="24"/>
                  <w:u w:val="single" w:color="0000FF"/>
                </w:rPr>
                <w:t>here</w:t>
              </w:r>
            </w:hyperlink>
          </w:p>
        </w:tc>
        <w:tc>
          <w:tcPr>
            <w:tcW w:w="3336" w:type="dxa"/>
            <w:tcBorders>
              <w:top w:val="nil"/>
            </w:tcBorders>
          </w:tcPr>
          <w:p w14:paraId="0DFBBE26" w14:textId="77777777" w:rsidR="004C78EF" w:rsidRDefault="004C78EF">
            <w:pPr>
              <w:pStyle w:val="TableParagraph"/>
              <w:rPr>
                <w:rFonts w:ascii="Times New Roman"/>
              </w:rPr>
            </w:pPr>
          </w:p>
        </w:tc>
        <w:tc>
          <w:tcPr>
            <w:tcW w:w="2246" w:type="dxa"/>
            <w:tcBorders>
              <w:top w:val="nil"/>
            </w:tcBorders>
          </w:tcPr>
          <w:p w14:paraId="0DFBBE27" w14:textId="77777777" w:rsidR="004C78EF" w:rsidRDefault="004C78EF">
            <w:pPr>
              <w:pStyle w:val="TableParagraph"/>
              <w:rPr>
                <w:rFonts w:ascii="Times New Roman"/>
              </w:rPr>
            </w:pPr>
          </w:p>
        </w:tc>
      </w:tr>
      <w:tr w:rsidR="004C78EF" w14:paraId="0DFBBE30" w14:textId="77777777">
        <w:trPr>
          <w:trHeight w:val="1377"/>
        </w:trPr>
        <w:tc>
          <w:tcPr>
            <w:tcW w:w="1325" w:type="dxa"/>
          </w:tcPr>
          <w:p w14:paraId="0DFBBE29" w14:textId="77777777" w:rsidR="004C78EF" w:rsidRDefault="005557C1">
            <w:pPr>
              <w:pStyle w:val="TableParagraph"/>
              <w:tabs>
                <w:tab w:val="left" w:pos="738"/>
              </w:tabs>
              <w:spacing w:line="242" w:lineRule="auto"/>
              <w:ind w:left="105" w:right="93"/>
              <w:rPr>
                <w:sz w:val="24"/>
              </w:rPr>
            </w:pPr>
            <w:r>
              <w:rPr>
                <w:sz w:val="24"/>
              </w:rPr>
              <w:t>4</w:t>
            </w:r>
            <w:r>
              <w:rPr>
                <w:sz w:val="24"/>
                <w:vertAlign w:val="superscript"/>
              </w:rPr>
              <w:t>th</w:t>
            </w:r>
            <w:r>
              <w:rPr>
                <w:sz w:val="24"/>
              </w:rPr>
              <w:tab/>
            </w:r>
            <w:r>
              <w:rPr>
                <w:spacing w:val="-4"/>
                <w:sz w:val="24"/>
              </w:rPr>
              <w:t xml:space="preserve">April </w:t>
            </w:r>
            <w:r>
              <w:rPr>
                <w:sz w:val="24"/>
              </w:rPr>
              <w:t>2019</w:t>
            </w:r>
          </w:p>
        </w:tc>
        <w:tc>
          <w:tcPr>
            <w:tcW w:w="3749" w:type="dxa"/>
          </w:tcPr>
          <w:p w14:paraId="0DFBBE2A" w14:textId="77777777" w:rsidR="004C78EF" w:rsidRDefault="005557C1">
            <w:pPr>
              <w:pStyle w:val="TableParagraph"/>
              <w:ind w:left="110" w:right="84"/>
              <w:jc w:val="both"/>
              <w:rPr>
                <w:sz w:val="24"/>
              </w:rPr>
            </w:pPr>
            <w:r>
              <w:rPr>
                <w:sz w:val="24"/>
              </w:rPr>
              <w:t xml:space="preserve">Chief Executive Officer decision to award £40,000 Growing Places Fund Revenue Grant to </w:t>
            </w:r>
            <w:proofErr w:type="gramStart"/>
            <w:r>
              <w:rPr>
                <w:sz w:val="24"/>
              </w:rPr>
              <w:t>East  Sussex</w:t>
            </w:r>
            <w:proofErr w:type="gramEnd"/>
            <w:r>
              <w:rPr>
                <w:sz w:val="24"/>
              </w:rPr>
              <w:t xml:space="preserve">  County  Council</w:t>
            </w:r>
            <w:r>
              <w:rPr>
                <w:spacing w:val="39"/>
                <w:sz w:val="24"/>
              </w:rPr>
              <w:t xml:space="preserve"> </w:t>
            </w:r>
            <w:r>
              <w:rPr>
                <w:sz w:val="24"/>
              </w:rPr>
              <w:t>to</w:t>
            </w:r>
          </w:p>
          <w:p w14:paraId="0DFBBE2B" w14:textId="77777777" w:rsidR="004C78EF" w:rsidRDefault="005557C1">
            <w:pPr>
              <w:pStyle w:val="TableParagraph"/>
              <w:spacing w:before="1" w:line="253" w:lineRule="exact"/>
              <w:ind w:left="110"/>
              <w:jc w:val="both"/>
              <w:rPr>
                <w:sz w:val="24"/>
              </w:rPr>
            </w:pPr>
            <w:r>
              <w:rPr>
                <w:sz w:val="24"/>
              </w:rPr>
              <w:t xml:space="preserve">support    the    delivery    of  </w:t>
            </w:r>
            <w:r>
              <w:rPr>
                <w:spacing w:val="19"/>
                <w:sz w:val="24"/>
              </w:rPr>
              <w:t xml:space="preserve"> </w:t>
            </w:r>
            <w:r>
              <w:rPr>
                <w:sz w:val="24"/>
              </w:rPr>
              <w:t>the</w:t>
            </w:r>
          </w:p>
        </w:tc>
        <w:tc>
          <w:tcPr>
            <w:tcW w:w="3062" w:type="dxa"/>
          </w:tcPr>
          <w:p w14:paraId="0DFBBE2C" w14:textId="77777777" w:rsidR="004C78EF" w:rsidRDefault="005557C1">
            <w:pPr>
              <w:pStyle w:val="TableParagraph"/>
              <w:ind w:left="111" w:right="78"/>
              <w:jc w:val="both"/>
              <w:rPr>
                <w:sz w:val="24"/>
              </w:rPr>
            </w:pPr>
            <w:r>
              <w:rPr>
                <w:sz w:val="24"/>
              </w:rPr>
              <w:t xml:space="preserve">See report titled: ‘To agree Sector Support Fund Grant Allocation to </w:t>
            </w:r>
            <w:r>
              <w:rPr>
                <w:spacing w:val="-4"/>
                <w:sz w:val="24"/>
              </w:rPr>
              <w:t xml:space="preserve">the </w:t>
            </w:r>
            <w:r>
              <w:rPr>
                <w:sz w:val="24"/>
              </w:rPr>
              <w:t xml:space="preserve">Coastal        </w:t>
            </w:r>
            <w:r>
              <w:rPr>
                <w:spacing w:val="61"/>
                <w:sz w:val="24"/>
              </w:rPr>
              <w:t xml:space="preserve"> </w:t>
            </w:r>
            <w:r>
              <w:rPr>
                <w:spacing w:val="-3"/>
                <w:sz w:val="24"/>
              </w:rPr>
              <w:t>Communities</w:t>
            </w:r>
          </w:p>
          <w:p w14:paraId="0DFBBE2D" w14:textId="77777777" w:rsidR="004C78EF" w:rsidRDefault="005557C1">
            <w:pPr>
              <w:pStyle w:val="TableParagraph"/>
              <w:spacing w:before="1" w:line="253" w:lineRule="exact"/>
              <w:ind w:left="111"/>
              <w:jc w:val="both"/>
              <w:rPr>
                <w:sz w:val="24"/>
              </w:rPr>
            </w:pPr>
            <w:r>
              <w:rPr>
                <w:sz w:val="24"/>
              </w:rPr>
              <w:t xml:space="preserve">Supplement </w:t>
            </w:r>
            <w:r>
              <w:rPr>
                <w:spacing w:val="-3"/>
                <w:sz w:val="24"/>
              </w:rPr>
              <w:t xml:space="preserve">to </w:t>
            </w:r>
            <w:r>
              <w:rPr>
                <w:sz w:val="24"/>
              </w:rPr>
              <w:t>the</w:t>
            </w:r>
            <w:r>
              <w:rPr>
                <w:spacing w:val="34"/>
                <w:sz w:val="24"/>
              </w:rPr>
              <w:t xml:space="preserve"> </w:t>
            </w:r>
            <w:r>
              <w:rPr>
                <w:sz w:val="24"/>
              </w:rPr>
              <w:t>SELEP</w:t>
            </w:r>
          </w:p>
        </w:tc>
        <w:tc>
          <w:tcPr>
            <w:tcW w:w="3336" w:type="dxa"/>
          </w:tcPr>
          <w:p w14:paraId="0DFBBE2E" w14:textId="77777777" w:rsidR="004C78EF" w:rsidRDefault="005557C1">
            <w:pPr>
              <w:pStyle w:val="TableParagraph"/>
              <w:ind w:left="112"/>
              <w:rPr>
                <w:sz w:val="24"/>
              </w:rPr>
            </w:pPr>
            <w:r>
              <w:rPr>
                <w:sz w:val="24"/>
              </w:rPr>
              <w:t>See supporting report</w:t>
            </w:r>
          </w:p>
        </w:tc>
        <w:tc>
          <w:tcPr>
            <w:tcW w:w="2246" w:type="dxa"/>
          </w:tcPr>
          <w:p w14:paraId="0DFBBE2F" w14:textId="77777777" w:rsidR="004C78EF" w:rsidRDefault="005557C1">
            <w:pPr>
              <w:pStyle w:val="TableParagraph"/>
              <w:ind w:left="108"/>
              <w:rPr>
                <w:sz w:val="24"/>
              </w:rPr>
            </w:pPr>
            <w:r>
              <w:rPr>
                <w:sz w:val="24"/>
              </w:rPr>
              <w:t>None</w:t>
            </w:r>
          </w:p>
        </w:tc>
      </w:tr>
    </w:tbl>
    <w:p w14:paraId="0DFBBE31" w14:textId="77777777" w:rsidR="004C78EF" w:rsidRDefault="004C78EF">
      <w:pPr>
        <w:rPr>
          <w:sz w:val="24"/>
        </w:rPr>
        <w:sectPr w:rsidR="004C78EF">
          <w:pgSz w:w="16850" w:h="11920" w:orient="landscape"/>
          <w:pgMar w:top="104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3749"/>
        <w:gridCol w:w="3062"/>
        <w:gridCol w:w="3336"/>
        <w:gridCol w:w="2246"/>
      </w:tblGrid>
      <w:tr w:rsidR="004C78EF" w14:paraId="0DFBBE3A" w14:textId="77777777">
        <w:trPr>
          <w:trHeight w:val="2486"/>
        </w:trPr>
        <w:tc>
          <w:tcPr>
            <w:tcW w:w="1325" w:type="dxa"/>
          </w:tcPr>
          <w:p w14:paraId="0DFBBE32" w14:textId="77777777" w:rsidR="004C78EF" w:rsidRDefault="004C78EF">
            <w:pPr>
              <w:pStyle w:val="TableParagraph"/>
              <w:rPr>
                <w:rFonts w:ascii="Times New Roman"/>
              </w:rPr>
            </w:pPr>
          </w:p>
        </w:tc>
        <w:tc>
          <w:tcPr>
            <w:tcW w:w="3749" w:type="dxa"/>
          </w:tcPr>
          <w:p w14:paraId="0DFBBE33" w14:textId="77777777" w:rsidR="004C78EF" w:rsidRDefault="005557C1">
            <w:pPr>
              <w:pStyle w:val="TableParagraph"/>
              <w:tabs>
                <w:tab w:val="left" w:pos="2242"/>
              </w:tabs>
              <w:ind w:left="110" w:right="84"/>
              <w:jc w:val="both"/>
              <w:rPr>
                <w:sz w:val="24"/>
              </w:rPr>
            </w:pPr>
            <w:r>
              <w:rPr>
                <w:sz w:val="24"/>
              </w:rPr>
              <w:t>Coastal</w:t>
            </w:r>
            <w:r>
              <w:rPr>
                <w:sz w:val="24"/>
              </w:rPr>
              <w:tab/>
            </w:r>
            <w:r>
              <w:rPr>
                <w:sz w:val="24"/>
              </w:rPr>
              <w:t>Communities Supplement to the SELEP Strategic Economic Plan project, following endorsement by the South East Local Enterprise Partnership Strategic</w:t>
            </w:r>
            <w:r>
              <w:rPr>
                <w:spacing w:val="-8"/>
                <w:sz w:val="24"/>
              </w:rPr>
              <w:t xml:space="preserve"> </w:t>
            </w:r>
            <w:r>
              <w:rPr>
                <w:sz w:val="24"/>
              </w:rPr>
              <w:t>Board.</w:t>
            </w:r>
          </w:p>
        </w:tc>
        <w:tc>
          <w:tcPr>
            <w:tcW w:w="3062" w:type="dxa"/>
          </w:tcPr>
          <w:p w14:paraId="0DFBBE34" w14:textId="77777777" w:rsidR="004C78EF" w:rsidRDefault="005557C1">
            <w:pPr>
              <w:pStyle w:val="TableParagraph"/>
              <w:spacing w:line="242" w:lineRule="auto"/>
              <w:ind w:left="111" w:right="306"/>
              <w:rPr>
                <w:sz w:val="24"/>
              </w:rPr>
            </w:pPr>
            <w:r>
              <w:rPr>
                <w:sz w:val="24"/>
              </w:rPr>
              <w:t>Strategic Economic Plan project’.</w:t>
            </w:r>
          </w:p>
          <w:p w14:paraId="0DFBBE35" w14:textId="77777777" w:rsidR="004C78EF" w:rsidRDefault="004C78EF">
            <w:pPr>
              <w:pStyle w:val="TableParagraph"/>
              <w:spacing w:before="9"/>
              <w:rPr>
                <w:i/>
                <w:sz w:val="23"/>
              </w:rPr>
            </w:pPr>
          </w:p>
          <w:p w14:paraId="0DFBBE36" w14:textId="77777777" w:rsidR="004C78EF" w:rsidRDefault="005557C1">
            <w:pPr>
              <w:pStyle w:val="TableParagraph"/>
              <w:spacing w:line="242" w:lineRule="auto"/>
              <w:ind w:left="111" w:right="212"/>
              <w:rPr>
                <w:sz w:val="24"/>
              </w:rPr>
            </w:pPr>
            <w:r>
              <w:rPr>
                <w:sz w:val="24"/>
              </w:rPr>
              <w:t>Report dated: 7</w:t>
            </w:r>
            <w:r>
              <w:rPr>
                <w:sz w:val="24"/>
                <w:vertAlign w:val="superscript"/>
              </w:rPr>
              <w:t>th</w:t>
            </w:r>
            <w:r>
              <w:rPr>
                <w:sz w:val="24"/>
              </w:rPr>
              <w:t xml:space="preserve"> January 2019</w:t>
            </w:r>
          </w:p>
          <w:p w14:paraId="0DFBBE37" w14:textId="77777777" w:rsidR="004C78EF" w:rsidRDefault="005557C1">
            <w:pPr>
              <w:pStyle w:val="TableParagraph"/>
              <w:spacing w:before="52" w:line="552" w:lineRule="exact"/>
              <w:ind w:left="111"/>
              <w:rPr>
                <w:sz w:val="24"/>
              </w:rPr>
            </w:pPr>
            <w:r>
              <w:rPr>
                <w:sz w:val="24"/>
              </w:rPr>
              <w:t xml:space="preserve">Report Author: Helen Dyer Report published </w:t>
            </w:r>
            <w:hyperlink r:id="rId15">
              <w:r>
                <w:rPr>
                  <w:color w:val="0000FF"/>
                  <w:sz w:val="24"/>
                  <w:u w:val="single" w:color="0000FF"/>
                </w:rPr>
                <w:t>here</w:t>
              </w:r>
            </w:hyperlink>
          </w:p>
        </w:tc>
        <w:tc>
          <w:tcPr>
            <w:tcW w:w="3336" w:type="dxa"/>
          </w:tcPr>
          <w:p w14:paraId="0DFBBE38" w14:textId="77777777" w:rsidR="004C78EF" w:rsidRDefault="004C78EF">
            <w:pPr>
              <w:pStyle w:val="TableParagraph"/>
              <w:rPr>
                <w:rFonts w:ascii="Times New Roman"/>
              </w:rPr>
            </w:pPr>
          </w:p>
        </w:tc>
        <w:tc>
          <w:tcPr>
            <w:tcW w:w="2246" w:type="dxa"/>
          </w:tcPr>
          <w:p w14:paraId="0DFBBE39" w14:textId="77777777" w:rsidR="004C78EF" w:rsidRDefault="004C78EF">
            <w:pPr>
              <w:pStyle w:val="TableParagraph"/>
              <w:rPr>
                <w:rFonts w:ascii="Times New Roman"/>
              </w:rPr>
            </w:pPr>
          </w:p>
        </w:tc>
      </w:tr>
      <w:tr w:rsidR="004C78EF" w14:paraId="0DFBBE46" w14:textId="77777777">
        <w:trPr>
          <w:trHeight w:val="2987"/>
        </w:trPr>
        <w:tc>
          <w:tcPr>
            <w:tcW w:w="1325" w:type="dxa"/>
            <w:tcBorders>
              <w:bottom w:val="nil"/>
            </w:tcBorders>
          </w:tcPr>
          <w:p w14:paraId="0DFBBE3B" w14:textId="77777777" w:rsidR="004C78EF" w:rsidRDefault="005557C1">
            <w:pPr>
              <w:pStyle w:val="TableParagraph"/>
              <w:tabs>
                <w:tab w:val="left" w:pos="738"/>
              </w:tabs>
              <w:spacing w:line="224" w:lineRule="exact"/>
              <w:ind w:left="105"/>
              <w:rPr>
                <w:sz w:val="24"/>
              </w:rPr>
            </w:pPr>
            <w:r>
              <w:rPr>
                <w:sz w:val="24"/>
              </w:rPr>
              <w:t>4</w:t>
            </w:r>
            <w:r>
              <w:rPr>
                <w:sz w:val="24"/>
                <w:vertAlign w:val="superscript"/>
              </w:rPr>
              <w:t>th</w:t>
            </w:r>
            <w:r>
              <w:rPr>
                <w:sz w:val="24"/>
              </w:rPr>
              <w:tab/>
              <w:t>April</w:t>
            </w:r>
          </w:p>
          <w:p w14:paraId="0DFBBE3C" w14:textId="77777777" w:rsidR="004C78EF" w:rsidRDefault="005557C1">
            <w:pPr>
              <w:pStyle w:val="TableParagraph"/>
              <w:spacing w:before="2"/>
              <w:ind w:left="105"/>
              <w:rPr>
                <w:sz w:val="24"/>
              </w:rPr>
            </w:pPr>
            <w:r>
              <w:rPr>
                <w:sz w:val="24"/>
              </w:rPr>
              <w:t>2019</w:t>
            </w:r>
          </w:p>
        </w:tc>
        <w:tc>
          <w:tcPr>
            <w:tcW w:w="3749" w:type="dxa"/>
            <w:tcBorders>
              <w:bottom w:val="nil"/>
            </w:tcBorders>
          </w:tcPr>
          <w:p w14:paraId="0DFBBE3D" w14:textId="77777777" w:rsidR="004C78EF" w:rsidRDefault="005557C1">
            <w:pPr>
              <w:pStyle w:val="TableParagraph"/>
              <w:spacing w:line="219" w:lineRule="exact"/>
              <w:ind w:left="110"/>
              <w:jc w:val="both"/>
              <w:rPr>
                <w:sz w:val="24"/>
              </w:rPr>
            </w:pPr>
            <w:proofErr w:type="gramStart"/>
            <w:r>
              <w:rPr>
                <w:sz w:val="24"/>
              </w:rPr>
              <w:t>Chief  Executive</w:t>
            </w:r>
            <w:proofErr w:type="gramEnd"/>
            <w:r>
              <w:rPr>
                <w:sz w:val="24"/>
              </w:rPr>
              <w:t xml:space="preserve">  Officer</w:t>
            </w:r>
            <w:r>
              <w:rPr>
                <w:spacing w:val="13"/>
                <w:sz w:val="24"/>
              </w:rPr>
              <w:t xml:space="preserve"> </w:t>
            </w:r>
            <w:r>
              <w:rPr>
                <w:sz w:val="24"/>
              </w:rPr>
              <w:t>decision</w:t>
            </w:r>
          </w:p>
          <w:p w14:paraId="0DFBBE3E" w14:textId="77777777" w:rsidR="004C78EF" w:rsidRDefault="005557C1">
            <w:pPr>
              <w:pStyle w:val="TableParagraph"/>
              <w:spacing w:before="2"/>
              <w:ind w:left="110" w:right="83"/>
              <w:jc w:val="both"/>
              <w:rPr>
                <w:sz w:val="24"/>
              </w:rPr>
            </w:pPr>
            <w:r>
              <w:rPr>
                <w:sz w:val="24"/>
              </w:rPr>
              <w:t xml:space="preserve">to award £166,600 Growing Places Fund Revenue Grant </w:t>
            </w:r>
            <w:r>
              <w:rPr>
                <w:spacing w:val="-3"/>
                <w:sz w:val="24"/>
              </w:rPr>
              <w:t xml:space="preserve">to </w:t>
            </w:r>
            <w:r>
              <w:rPr>
                <w:sz w:val="24"/>
              </w:rPr>
              <w:t xml:space="preserve">Essex County Council to support the delivery of the Delivering Skills of the Future Through Teaching: Teaching for Growth project, following endorsement by     the   </w:t>
            </w:r>
            <w:r>
              <w:rPr>
                <w:sz w:val="24"/>
              </w:rPr>
              <w:t xml:space="preserve">  South     East    Local</w:t>
            </w:r>
          </w:p>
          <w:p w14:paraId="0DFBBE3F" w14:textId="77777777" w:rsidR="004C78EF" w:rsidRDefault="005557C1">
            <w:pPr>
              <w:pStyle w:val="TableParagraph"/>
              <w:spacing w:before="4" w:line="278" w:lineRule="exact"/>
              <w:ind w:left="110" w:right="84"/>
              <w:jc w:val="both"/>
              <w:rPr>
                <w:sz w:val="24"/>
              </w:rPr>
            </w:pPr>
            <w:r>
              <w:rPr>
                <w:sz w:val="24"/>
              </w:rPr>
              <w:t>Enterprise Partnership Strategic Board.</w:t>
            </w:r>
          </w:p>
        </w:tc>
        <w:tc>
          <w:tcPr>
            <w:tcW w:w="3062" w:type="dxa"/>
            <w:tcBorders>
              <w:bottom w:val="nil"/>
            </w:tcBorders>
          </w:tcPr>
          <w:p w14:paraId="0DFBBE40" w14:textId="77777777" w:rsidR="004C78EF" w:rsidRDefault="005557C1">
            <w:pPr>
              <w:pStyle w:val="TableParagraph"/>
              <w:spacing w:line="219" w:lineRule="exact"/>
              <w:ind w:left="111"/>
              <w:jc w:val="both"/>
              <w:rPr>
                <w:sz w:val="24"/>
              </w:rPr>
            </w:pPr>
            <w:r>
              <w:rPr>
                <w:sz w:val="24"/>
              </w:rPr>
              <w:t>See report titled: ‘To agree</w:t>
            </w:r>
          </w:p>
          <w:p w14:paraId="0DFBBE41" w14:textId="77777777" w:rsidR="004C78EF" w:rsidRDefault="005557C1">
            <w:pPr>
              <w:pStyle w:val="TableParagraph"/>
              <w:spacing w:before="2"/>
              <w:ind w:left="111" w:right="78"/>
              <w:jc w:val="both"/>
              <w:rPr>
                <w:sz w:val="24"/>
              </w:rPr>
            </w:pPr>
            <w:r>
              <w:rPr>
                <w:sz w:val="24"/>
              </w:rPr>
              <w:t xml:space="preserve">Sector Support Fund Grant Allocation to </w:t>
            </w:r>
            <w:r>
              <w:rPr>
                <w:spacing w:val="-4"/>
                <w:sz w:val="24"/>
              </w:rPr>
              <w:t xml:space="preserve">the </w:t>
            </w:r>
            <w:r>
              <w:rPr>
                <w:sz w:val="24"/>
              </w:rPr>
              <w:t xml:space="preserve">Delivering Skills of </w:t>
            </w:r>
            <w:r>
              <w:rPr>
                <w:spacing w:val="-5"/>
                <w:sz w:val="24"/>
              </w:rPr>
              <w:t xml:space="preserve">the </w:t>
            </w:r>
            <w:r>
              <w:rPr>
                <w:sz w:val="24"/>
              </w:rPr>
              <w:t>Future Through Teaching: Teaching for Growth Project’.</w:t>
            </w:r>
          </w:p>
          <w:p w14:paraId="0DFBBE42" w14:textId="77777777" w:rsidR="004C78EF" w:rsidRDefault="004C78EF">
            <w:pPr>
              <w:pStyle w:val="TableParagraph"/>
              <w:spacing w:before="10"/>
              <w:rPr>
                <w:i/>
                <w:sz w:val="23"/>
              </w:rPr>
            </w:pPr>
          </w:p>
          <w:p w14:paraId="0DFBBE43" w14:textId="77777777" w:rsidR="004C78EF" w:rsidRDefault="005557C1">
            <w:pPr>
              <w:pStyle w:val="TableParagraph"/>
              <w:spacing w:line="242" w:lineRule="auto"/>
              <w:ind w:left="111" w:right="83"/>
              <w:jc w:val="both"/>
              <w:rPr>
                <w:sz w:val="24"/>
              </w:rPr>
            </w:pPr>
            <w:r>
              <w:rPr>
                <w:sz w:val="24"/>
              </w:rPr>
              <w:t>Report dated: 7</w:t>
            </w:r>
            <w:r>
              <w:rPr>
                <w:sz w:val="24"/>
                <w:vertAlign w:val="superscript"/>
              </w:rPr>
              <w:t>th</w:t>
            </w:r>
            <w:r>
              <w:rPr>
                <w:sz w:val="24"/>
              </w:rPr>
              <w:t xml:space="preserve"> January 2019</w:t>
            </w:r>
          </w:p>
        </w:tc>
        <w:tc>
          <w:tcPr>
            <w:tcW w:w="3336" w:type="dxa"/>
            <w:tcBorders>
              <w:bottom w:val="nil"/>
            </w:tcBorders>
          </w:tcPr>
          <w:p w14:paraId="0DFBBE44" w14:textId="77777777" w:rsidR="004C78EF" w:rsidRDefault="005557C1">
            <w:pPr>
              <w:pStyle w:val="TableParagraph"/>
              <w:spacing w:line="219" w:lineRule="exact"/>
              <w:ind w:left="112"/>
              <w:rPr>
                <w:sz w:val="24"/>
              </w:rPr>
            </w:pPr>
            <w:r>
              <w:rPr>
                <w:sz w:val="24"/>
              </w:rPr>
              <w:t>See supporting report</w:t>
            </w:r>
          </w:p>
        </w:tc>
        <w:tc>
          <w:tcPr>
            <w:tcW w:w="2246" w:type="dxa"/>
            <w:tcBorders>
              <w:bottom w:val="nil"/>
            </w:tcBorders>
          </w:tcPr>
          <w:p w14:paraId="0DFBBE45" w14:textId="77777777" w:rsidR="004C78EF" w:rsidRDefault="005557C1">
            <w:pPr>
              <w:pStyle w:val="TableParagraph"/>
              <w:spacing w:line="219" w:lineRule="exact"/>
              <w:ind w:left="113"/>
              <w:rPr>
                <w:sz w:val="24"/>
              </w:rPr>
            </w:pPr>
            <w:r>
              <w:rPr>
                <w:sz w:val="24"/>
              </w:rPr>
              <w:t>None</w:t>
            </w:r>
          </w:p>
        </w:tc>
      </w:tr>
      <w:tr w:rsidR="004C78EF" w14:paraId="0DFBBE4C" w14:textId="77777777">
        <w:trPr>
          <w:trHeight w:val="409"/>
        </w:trPr>
        <w:tc>
          <w:tcPr>
            <w:tcW w:w="1325" w:type="dxa"/>
            <w:tcBorders>
              <w:top w:val="nil"/>
              <w:bottom w:val="nil"/>
            </w:tcBorders>
          </w:tcPr>
          <w:p w14:paraId="0DFBBE47" w14:textId="77777777" w:rsidR="004C78EF" w:rsidRDefault="004C78EF">
            <w:pPr>
              <w:pStyle w:val="TableParagraph"/>
              <w:rPr>
                <w:rFonts w:ascii="Times New Roman"/>
              </w:rPr>
            </w:pPr>
          </w:p>
        </w:tc>
        <w:tc>
          <w:tcPr>
            <w:tcW w:w="3749" w:type="dxa"/>
            <w:tcBorders>
              <w:top w:val="nil"/>
              <w:bottom w:val="nil"/>
            </w:tcBorders>
          </w:tcPr>
          <w:p w14:paraId="0DFBBE48" w14:textId="77777777" w:rsidR="004C78EF" w:rsidRDefault="004C78EF">
            <w:pPr>
              <w:pStyle w:val="TableParagraph"/>
              <w:rPr>
                <w:rFonts w:ascii="Times New Roman"/>
              </w:rPr>
            </w:pPr>
          </w:p>
        </w:tc>
        <w:tc>
          <w:tcPr>
            <w:tcW w:w="3062" w:type="dxa"/>
            <w:tcBorders>
              <w:top w:val="nil"/>
              <w:bottom w:val="nil"/>
            </w:tcBorders>
          </w:tcPr>
          <w:p w14:paraId="0DFBBE49" w14:textId="77777777" w:rsidR="004C78EF" w:rsidRDefault="005557C1">
            <w:pPr>
              <w:pStyle w:val="TableParagraph"/>
              <w:spacing w:line="270" w:lineRule="exact"/>
              <w:ind w:left="111"/>
              <w:rPr>
                <w:sz w:val="24"/>
              </w:rPr>
            </w:pPr>
            <w:r>
              <w:rPr>
                <w:sz w:val="24"/>
              </w:rPr>
              <w:t>Report Author: Helen Dyer</w:t>
            </w:r>
          </w:p>
        </w:tc>
        <w:tc>
          <w:tcPr>
            <w:tcW w:w="3336" w:type="dxa"/>
            <w:tcBorders>
              <w:top w:val="nil"/>
              <w:bottom w:val="nil"/>
            </w:tcBorders>
          </w:tcPr>
          <w:p w14:paraId="0DFBBE4A" w14:textId="77777777" w:rsidR="004C78EF" w:rsidRDefault="004C78EF">
            <w:pPr>
              <w:pStyle w:val="TableParagraph"/>
              <w:rPr>
                <w:rFonts w:ascii="Times New Roman"/>
              </w:rPr>
            </w:pPr>
          </w:p>
        </w:tc>
        <w:tc>
          <w:tcPr>
            <w:tcW w:w="2246" w:type="dxa"/>
            <w:tcBorders>
              <w:top w:val="nil"/>
              <w:bottom w:val="nil"/>
            </w:tcBorders>
          </w:tcPr>
          <w:p w14:paraId="0DFBBE4B" w14:textId="77777777" w:rsidR="004C78EF" w:rsidRDefault="004C78EF">
            <w:pPr>
              <w:pStyle w:val="TableParagraph"/>
              <w:rPr>
                <w:rFonts w:ascii="Times New Roman"/>
              </w:rPr>
            </w:pPr>
          </w:p>
        </w:tc>
      </w:tr>
      <w:tr w:rsidR="004C78EF" w14:paraId="0DFBBE52" w14:textId="77777777">
        <w:trPr>
          <w:trHeight w:val="409"/>
        </w:trPr>
        <w:tc>
          <w:tcPr>
            <w:tcW w:w="1325" w:type="dxa"/>
            <w:tcBorders>
              <w:top w:val="nil"/>
            </w:tcBorders>
          </w:tcPr>
          <w:p w14:paraId="0DFBBE4D" w14:textId="77777777" w:rsidR="004C78EF" w:rsidRDefault="004C78EF">
            <w:pPr>
              <w:pStyle w:val="TableParagraph"/>
              <w:rPr>
                <w:rFonts w:ascii="Times New Roman"/>
              </w:rPr>
            </w:pPr>
          </w:p>
        </w:tc>
        <w:tc>
          <w:tcPr>
            <w:tcW w:w="3749" w:type="dxa"/>
            <w:tcBorders>
              <w:top w:val="nil"/>
            </w:tcBorders>
          </w:tcPr>
          <w:p w14:paraId="0DFBBE4E" w14:textId="77777777" w:rsidR="004C78EF" w:rsidRDefault="004C78EF">
            <w:pPr>
              <w:pStyle w:val="TableParagraph"/>
              <w:rPr>
                <w:rFonts w:ascii="Times New Roman"/>
              </w:rPr>
            </w:pPr>
          </w:p>
        </w:tc>
        <w:tc>
          <w:tcPr>
            <w:tcW w:w="3062" w:type="dxa"/>
            <w:tcBorders>
              <w:top w:val="nil"/>
            </w:tcBorders>
          </w:tcPr>
          <w:p w14:paraId="0DFBBE4F" w14:textId="77777777" w:rsidR="004C78EF" w:rsidRDefault="005557C1">
            <w:pPr>
              <w:pStyle w:val="TableParagraph"/>
              <w:spacing w:before="131" w:line="258" w:lineRule="exact"/>
              <w:ind w:left="111"/>
              <w:rPr>
                <w:sz w:val="24"/>
              </w:rPr>
            </w:pPr>
            <w:r>
              <w:rPr>
                <w:sz w:val="24"/>
              </w:rPr>
              <w:t xml:space="preserve">Report published </w:t>
            </w:r>
            <w:hyperlink r:id="rId16">
              <w:r>
                <w:rPr>
                  <w:color w:val="0000FF"/>
                  <w:sz w:val="24"/>
                  <w:u w:val="single" w:color="0000FF"/>
                </w:rPr>
                <w:t>here</w:t>
              </w:r>
            </w:hyperlink>
          </w:p>
        </w:tc>
        <w:tc>
          <w:tcPr>
            <w:tcW w:w="3336" w:type="dxa"/>
            <w:tcBorders>
              <w:top w:val="nil"/>
            </w:tcBorders>
          </w:tcPr>
          <w:p w14:paraId="0DFBBE50" w14:textId="77777777" w:rsidR="004C78EF" w:rsidRDefault="004C78EF">
            <w:pPr>
              <w:pStyle w:val="TableParagraph"/>
              <w:rPr>
                <w:rFonts w:ascii="Times New Roman"/>
              </w:rPr>
            </w:pPr>
          </w:p>
        </w:tc>
        <w:tc>
          <w:tcPr>
            <w:tcW w:w="2246" w:type="dxa"/>
            <w:tcBorders>
              <w:top w:val="nil"/>
            </w:tcBorders>
          </w:tcPr>
          <w:p w14:paraId="0DFBBE51" w14:textId="77777777" w:rsidR="004C78EF" w:rsidRDefault="004C78EF">
            <w:pPr>
              <w:pStyle w:val="TableParagraph"/>
              <w:rPr>
                <w:rFonts w:ascii="Times New Roman"/>
              </w:rPr>
            </w:pPr>
          </w:p>
        </w:tc>
      </w:tr>
      <w:tr w:rsidR="004C78EF" w14:paraId="0DFBBE5B" w14:textId="77777777">
        <w:trPr>
          <w:trHeight w:val="2492"/>
        </w:trPr>
        <w:tc>
          <w:tcPr>
            <w:tcW w:w="1325" w:type="dxa"/>
            <w:tcBorders>
              <w:bottom w:val="nil"/>
            </w:tcBorders>
          </w:tcPr>
          <w:p w14:paraId="0DFBBE53" w14:textId="77777777" w:rsidR="004C78EF" w:rsidRDefault="005557C1">
            <w:pPr>
              <w:pStyle w:val="TableParagraph"/>
              <w:tabs>
                <w:tab w:val="left" w:pos="762"/>
              </w:tabs>
              <w:spacing w:before="5" w:line="242" w:lineRule="auto"/>
              <w:ind w:left="105" w:right="94"/>
              <w:rPr>
                <w:sz w:val="24"/>
              </w:rPr>
            </w:pPr>
            <w:r>
              <w:rPr>
                <w:sz w:val="24"/>
              </w:rPr>
              <w:t>20</w:t>
            </w:r>
            <w:r>
              <w:rPr>
                <w:sz w:val="24"/>
                <w:vertAlign w:val="superscript"/>
              </w:rPr>
              <w:t>th</w:t>
            </w:r>
            <w:r>
              <w:rPr>
                <w:sz w:val="24"/>
              </w:rPr>
              <w:tab/>
            </w:r>
            <w:r>
              <w:rPr>
                <w:spacing w:val="-6"/>
                <w:sz w:val="24"/>
              </w:rPr>
              <w:t xml:space="preserve">May </w:t>
            </w:r>
            <w:r>
              <w:rPr>
                <w:sz w:val="24"/>
              </w:rPr>
              <w:t>2019</w:t>
            </w:r>
          </w:p>
        </w:tc>
        <w:tc>
          <w:tcPr>
            <w:tcW w:w="3749" w:type="dxa"/>
            <w:tcBorders>
              <w:bottom w:val="nil"/>
            </w:tcBorders>
          </w:tcPr>
          <w:p w14:paraId="0DFBBE54" w14:textId="77777777" w:rsidR="004C78EF" w:rsidRDefault="005557C1">
            <w:pPr>
              <w:pStyle w:val="TableParagraph"/>
              <w:spacing w:before="5"/>
              <w:ind w:left="110" w:right="83"/>
              <w:jc w:val="both"/>
              <w:rPr>
                <w:sz w:val="24"/>
              </w:rPr>
            </w:pPr>
            <w:r>
              <w:rPr>
                <w:sz w:val="24"/>
              </w:rPr>
              <w:t xml:space="preserve">Chief Executive Officer decision to award £49,600 Growing Places Fund Revenue Grant </w:t>
            </w:r>
            <w:r>
              <w:rPr>
                <w:spacing w:val="-3"/>
                <w:sz w:val="24"/>
              </w:rPr>
              <w:t xml:space="preserve">to </w:t>
            </w:r>
            <w:r>
              <w:rPr>
                <w:sz w:val="24"/>
              </w:rPr>
              <w:t>Essex County Council to support the delivery of the Creative Open Workspace project, following endorsement by the South East Local Enterprise</w:t>
            </w:r>
            <w:r>
              <w:rPr>
                <w:spacing w:val="35"/>
                <w:sz w:val="24"/>
              </w:rPr>
              <w:t xml:space="preserve"> </w:t>
            </w:r>
            <w:r>
              <w:rPr>
                <w:sz w:val="24"/>
              </w:rPr>
              <w:t>Partnership</w:t>
            </w:r>
          </w:p>
          <w:p w14:paraId="0DFBBE55" w14:textId="77777777" w:rsidR="004C78EF" w:rsidRDefault="005557C1">
            <w:pPr>
              <w:pStyle w:val="TableParagraph"/>
              <w:spacing w:before="1" w:line="259" w:lineRule="exact"/>
              <w:ind w:left="110"/>
              <w:jc w:val="both"/>
              <w:rPr>
                <w:sz w:val="24"/>
              </w:rPr>
            </w:pPr>
            <w:r>
              <w:rPr>
                <w:sz w:val="24"/>
              </w:rPr>
              <w:t>Strategic Board</w:t>
            </w:r>
            <w:r>
              <w:rPr>
                <w:sz w:val="24"/>
              </w:rPr>
              <w:t>.</w:t>
            </w:r>
          </w:p>
        </w:tc>
        <w:tc>
          <w:tcPr>
            <w:tcW w:w="3062" w:type="dxa"/>
            <w:tcBorders>
              <w:bottom w:val="nil"/>
            </w:tcBorders>
          </w:tcPr>
          <w:p w14:paraId="0DFBBE56" w14:textId="77777777" w:rsidR="004C78EF" w:rsidRDefault="005557C1">
            <w:pPr>
              <w:pStyle w:val="TableParagraph"/>
              <w:spacing w:before="5"/>
              <w:ind w:left="111" w:right="78"/>
              <w:jc w:val="both"/>
              <w:rPr>
                <w:sz w:val="24"/>
              </w:rPr>
            </w:pPr>
            <w:r>
              <w:rPr>
                <w:sz w:val="24"/>
              </w:rPr>
              <w:t xml:space="preserve">See report titled: ‘To agree Sector Support Fund Grant Allocation to </w:t>
            </w:r>
            <w:r>
              <w:rPr>
                <w:spacing w:val="-4"/>
                <w:sz w:val="24"/>
              </w:rPr>
              <w:t xml:space="preserve">the </w:t>
            </w:r>
            <w:r>
              <w:rPr>
                <w:sz w:val="24"/>
              </w:rPr>
              <w:t>Creative Open Workspace project’.</w:t>
            </w:r>
          </w:p>
          <w:p w14:paraId="0DFBBE57" w14:textId="77777777" w:rsidR="004C78EF" w:rsidRDefault="004C78EF">
            <w:pPr>
              <w:pStyle w:val="TableParagraph"/>
              <w:spacing w:before="7"/>
              <w:rPr>
                <w:i/>
                <w:sz w:val="23"/>
              </w:rPr>
            </w:pPr>
          </w:p>
          <w:p w14:paraId="0DFBBE58" w14:textId="77777777" w:rsidR="004C78EF" w:rsidRDefault="005557C1">
            <w:pPr>
              <w:pStyle w:val="TableParagraph"/>
              <w:spacing w:before="1" w:line="242" w:lineRule="auto"/>
              <w:ind w:left="111" w:right="81"/>
              <w:jc w:val="both"/>
              <w:rPr>
                <w:sz w:val="24"/>
              </w:rPr>
            </w:pPr>
            <w:r>
              <w:rPr>
                <w:sz w:val="24"/>
              </w:rPr>
              <w:t>Report dated: 8</w:t>
            </w:r>
            <w:r>
              <w:rPr>
                <w:sz w:val="24"/>
                <w:vertAlign w:val="superscript"/>
              </w:rPr>
              <w:t>th</w:t>
            </w:r>
            <w:r>
              <w:rPr>
                <w:sz w:val="24"/>
              </w:rPr>
              <w:t xml:space="preserve"> April 2019</w:t>
            </w:r>
          </w:p>
        </w:tc>
        <w:tc>
          <w:tcPr>
            <w:tcW w:w="3336" w:type="dxa"/>
            <w:tcBorders>
              <w:bottom w:val="nil"/>
            </w:tcBorders>
          </w:tcPr>
          <w:p w14:paraId="0DFBBE59" w14:textId="77777777" w:rsidR="004C78EF" w:rsidRDefault="005557C1">
            <w:pPr>
              <w:pStyle w:val="TableParagraph"/>
              <w:spacing w:before="5"/>
              <w:ind w:left="112"/>
              <w:rPr>
                <w:sz w:val="24"/>
              </w:rPr>
            </w:pPr>
            <w:r>
              <w:rPr>
                <w:sz w:val="24"/>
              </w:rPr>
              <w:t>See supporting report</w:t>
            </w:r>
          </w:p>
        </w:tc>
        <w:tc>
          <w:tcPr>
            <w:tcW w:w="2246" w:type="dxa"/>
            <w:tcBorders>
              <w:bottom w:val="nil"/>
            </w:tcBorders>
          </w:tcPr>
          <w:p w14:paraId="0DFBBE5A" w14:textId="77777777" w:rsidR="004C78EF" w:rsidRDefault="005557C1">
            <w:pPr>
              <w:pStyle w:val="TableParagraph"/>
              <w:spacing w:before="5"/>
              <w:ind w:left="108"/>
              <w:rPr>
                <w:sz w:val="24"/>
              </w:rPr>
            </w:pPr>
            <w:r>
              <w:rPr>
                <w:sz w:val="24"/>
              </w:rPr>
              <w:t>None</w:t>
            </w:r>
          </w:p>
        </w:tc>
      </w:tr>
      <w:tr w:rsidR="004C78EF" w14:paraId="0DFBBE61" w14:textId="77777777">
        <w:trPr>
          <w:trHeight w:val="546"/>
        </w:trPr>
        <w:tc>
          <w:tcPr>
            <w:tcW w:w="1325" w:type="dxa"/>
            <w:tcBorders>
              <w:top w:val="nil"/>
            </w:tcBorders>
          </w:tcPr>
          <w:p w14:paraId="0DFBBE5C" w14:textId="77777777" w:rsidR="004C78EF" w:rsidRDefault="004C78EF">
            <w:pPr>
              <w:pStyle w:val="TableParagraph"/>
              <w:rPr>
                <w:rFonts w:ascii="Times New Roman"/>
              </w:rPr>
            </w:pPr>
          </w:p>
        </w:tc>
        <w:tc>
          <w:tcPr>
            <w:tcW w:w="3749" w:type="dxa"/>
            <w:tcBorders>
              <w:top w:val="nil"/>
            </w:tcBorders>
          </w:tcPr>
          <w:p w14:paraId="0DFBBE5D" w14:textId="77777777" w:rsidR="004C78EF" w:rsidRDefault="004C78EF">
            <w:pPr>
              <w:pStyle w:val="TableParagraph"/>
              <w:rPr>
                <w:rFonts w:ascii="Times New Roman"/>
              </w:rPr>
            </w:pPr>
          </w:p>
        </w:tc>
        <w:tc>
          <w:tcPr>
            <w:tcW w:w="3062" w:type="dxa"/>
            <w:tcBorders>
              <w:top w:val="nil"/>
            </w:tcBorders>
          </w:tcPr>
          <w:p w14:paraId="0DFBBE5E" w14:textId="77777777" w:rsidR="004C78EF" w:rsidRDefault="005557C1">
            <w:pPr>
              <w:pStyle w:val="TableParagraph"/>
              <w:spacing w:line="271" w:lineRule="exact"/>
              <w:ind w:left="111"/>
              <w:rPr>
                <w:sz w:val="24"/>
              </w:rPr>
            </w:pPr>
            <w:r>
              <w:rPr>
                <w:sz w:val="24"/>
              </w:rPr>
              <w:t>Report Author: Helen Dyer</w:t>
            </w:r>
          </w:p>
        </w:tc>
        <w:tc>
          <w:tcPr>
            <w:tcW w:w="3336" w:type="dxa"/>
            <w:tcBorders>
              <w:top w:val="nil"/>
            </w:tcBorders>
          </w:tcPr>
          <w:p w14:paraId="0DFBBE5F" w14:textId="77777777" w:rsidR="004C78EF" w:rsidRDefault="004C78EF">
            <w:pPr>
              <w:pStyle w:val="TableParagraph"/>
              <w:rPr>
                <w:rFonts w:ascii="Times New Roman"/>
              </w:rPr>
            </w:pPr>
          </w:p>
        </w:tc>
        <w:tc>
          <w:tcPr>
            <w:tcW w:w="2246" w:type="dxa"/>
            <w:tcBorders>
              <w:top w:val="nil"/>
            </w:tcBorders>
          </w:tcPr>
          <w:p w14:paraId="0DFBBE60" w14:textId="77777777" w:rsidR="004C78EF" w:rsidRDefault="004C78EF">
            <w:pPr>
              <w:pStyle w:val="TableParagraph"/>
              <w:rPr>
                <w:rFonts w:ascii="Times New Roman"/>
              </w:rPr>
            </w:pPr>
          </w:p>
        </w:tc>
      </w:tr>
    </w:tbl>
    <w:p w14:paraId="0DFBBE62" w14:textId="77777777" w:rsidR="004C78EF" w:rsidRDefault="004C78EF">
      <w:pPr>
        <w:rPr>
          <w:rFonts w:ascii="Times New Roman"/>
        </w:rPr>
        <w:sectPr w:rsidR="004C78EF">
          <w:pgSz w:w="16850" w:h="11920" w:orient="landscape"/>
          <w:pgMar w:top="104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3625"/>
        <w:gridCol w:w="3068"/>
        <w:gridCol w:w="3332"/>
        <w:gridCol w:w="2247"/>
      </w:tblGrid>
      <w:tr w:rsidR="004C78EF" w14:paraId="0DFBBE68" w14:textId="77777777">
        <w:trPr>
          <w:trHeight w:val="277"/>
        </w:trPr>
        <w:tc>
          <w:tcPr>
            <w:tcW w:w="1450" w:type="dxa"/>
          </w:tcPr>
          <w:p w14:paraId="0DFBBE63" w14:textId="77777777" w:rsidR="004C78EF" w:rsidRDefault="004C78EF">
            <w:pPr>
              <w:pStyle w:val="TableParagraph"/>
              <w:rPr>
                <w:rFonts w:ascii="Times New Roman"/>
                <w:sz w:val="20"/>
              </w:rPr>
            </w:pPr>
          </w:p>
        </w:tc>
        <w:tc>
          <w:tcPr>
            <w:tcW w:w="3625" w:type="dxa"/>
          </w:tcPr>
          <w:p w14:paraId="0DFBBE64" w14:textId="77777777" w:rsidR="004C78EF" w:rsidRDefault="004C78EF">
            <w:pPr>
              <w:pStyle w:val="TableParagraph"/>
              <w:rPr>
                <w:rFonts w:ascii="Times New Roman"/>
                <w:sz w:val="20"/>
              </w:rPr>
            </w:pPr>
          </w:p>
        </w:tc>
        <w:tc>
          <w:tcPr>
            <w:tcW w:w="3068" w:type="dxa"/>
          </w:tcPr>
          <w:p w14:paraId="0DFBBE65" w14:textId="77777777" w:rsidR="004C78EF" w:rsidRDefault="005557C1">
            <w:pPr>
              <w:pStyle w:val="TableParagraph"/>
              <w:spacing w:line="258" w:lineRule="exact"/>
              <w:ind w:left="110"/>
              <w:rPr>
                <w:sz w:val="24"/>
              </w:rPr>
            </w:pPr>
            <w:r>
              <w:rPr>
                <w:sz w:val="24"/>
              </w:rPr>
              <w:t xml:space="preserve">Report published </w:t>
            </w:r>
            <w:hyperlink r:id="rId17">
              <w:r>
                <w:rPr>
                  <w:color w:val="0000FF"/>
                  <w:sz w:val="24"/>
                  <w:u w:val="single" w:color="0000FF"/>
                </w:rPr>
                <w:t>here</w:t>
              </w:r>
            </w:hyperlink>
          </w:p>
        </w:tc>
        <w:tc>
          <w:tcPr>
            <w:tcW w:w="3332" w:type="dxa"/>
          </w:tcPr>
          <w:p w14:paraId="0DFBBE66" w14:textId="77777777" w:rsidR="004C78EF" w:rsidRDefault="004C78EF">
            <w:pPr>
              <w:pStyle w:val="TableParagraph"/>
              <w:rPr>
                <w:rFonts w:ascii="Times New Roman"/>
                <w:sz w:val="20"/>
              </w:rPr>
            </w:pPr>
          </w:p>
        </w:tc>
        <w:tc>
          <w:tcPr>
            <w:tcW w:w="2247" w:type="dxa"/>
          </w:tcPr>
          <w:p w14:paraId="0DFBBE67" w14:textId="77777777" w:rsidR="004C78EF" w:rsidRDefault="004C78EF">
            <w:pPr>
              <w:pStyle w:val="TableParagraph"/>
              <w:rPr>
                <w:rFonts w:ascii="Times New Roman"/>
                <w:sz w:val="20"/>
              </w:rPr>
            </w:pPr>
          </w:p>
        </w:tc>
      </w:tr>
      <w:tr w:rsidR="004C78EF" w14:paraId="0DFBBE72" w14:textId="77777777">
        <w:trPr>
          <w:trHeight w:val="3318"/>
        </w:trPr>
        <w:tc>
          <w:tcPr>
            <w:tcW w:w="1450" w:type="dxa"/>
          </w:tcPr>
          <w:p w14:paraId="0DFBBE69" w14:textId="77777777" w:rsidR="004C78EF" w:rsidRDefault="005557C1">
            <w:pPr>
              <w:pStyle w:val="TableParagraph"/>
              <w:tabs>
                <w:tab w:val="left" w:pos="762"/>
              </w:tabs>
              <w:spacing w:before="5" w:line="242" w:lineRule="auto"/>
              <w:ind w:left="105" w:right="219"/>
              <w:rPr>
                <w:sz w:val="24"/>
              </w:rPr>
            </w:pPr>
            <w:r>
              <w:rPr>
                <w:sz w:val="24"/>
              </w:rPr>
              <w:t>22</w:t>
            </w:r>
            <w:r>
              <w:rPr>
                <w:sz w:val="24"/>
                <w:vertAlign w:val="superscript"/>
              </w:rPr>
              <w:t>nd</w:t>
            </w:r>
            <w:r>
              <w:rPr>
                <w:sz w:val="24"/>
              </w:rPr>
              <w:tab/>
            </w:r>
            <w:r>
              <w:rPr>
                <w:spacing w:val="-6"/>
                <w:sz w:val="24"/>
              </w:rPr>
              <w:t xml:space="preserve">May </w:t>
            </w:r>
            <w:r>
              <w:rPr>
                <w:sz w:val="24"/>
              </w:rPr>
              <w:t>2019</w:t>
            </w:r>
          </w:p>
        </w:tc>
        <w:tc>
          <w:tcPr>
            <w:tcW w:w="3625" w:type="dxa"/>
          </w:tcPr>
          <w:p w14:paraId="0DFBBE6A" w14:textId="77777777" w:rsidR="004C78EF" w:rsidRDefault="005557C1">
            <w:pPr>
              <w:pStyle w:val="TableParagraph"/>
              <w:ind w:left="105" w:right="177"/>
              <w:rPr>
                <w:sz w:val="24"/>
              </w:rPr>
            </w:pPr>
            <w:r>
              <w:rPr>
                <w:sz w:val="24"/>
              </w:rPr>
              <w:t>Chief Executive Officer decision to approve the one year extension of the ITE contract for services in</w:t>
            </w:r>
            <w:r>
              <w:rPr>
                <w:spacing w:val="-16"/>
                <w:sz w:val="24"/>
              </w:rPr>
              <w:t xml:space="preserve"> </w:t>
            </w:r>
            <w:r>
              <w:rPr>
                <w:sz w:val="24"/>
              </w:rPr>
              <w:t xml:space="preserve">2019/20 held with Steer Davis </w:t>
            </w:r>
            <w:proofErr w:type="spellStart"/>
            <w:r>
              <w:rPr>
                <w:sz w:val="24"/>
              </w:rPr>
              <w:t>Gleave</w:t>
            </w:r>
            <w:proofErr w:type="spellEnd"/>
            <w:r>
              <w:rPr>
                <w:sz w:val="24"/>
              </w:rPr>
              <w:t xml:space="preserve"> Ltd (Steer), at a maximum cost of</w:t>
            </w:r>
            <w:r>
              <w:rPr>
                <w:spacing w:val="-29"/>
                <w:sz w:val="24"/>
              </w:rPr>
              <w:t xml:space="preserve"> </w:t>
            </w:r>
            <w:r>
              <w:rPr>
                <w:sz w:val="24"/>
              </w:rPr>
              <w:t>£100,000.</w:t>
            </w:r>
          </w:p>
        </w:tc>
        <w:tc>
          <w:tcPr>
            <w:tcW w:w="3068" w:type="dxa"/>
          </w:tcPr>
          <w:p w14:paraId="0DFBBE6B" w14:textId="77777777" w:rsidR="004C78EF" w:rsidRDefault="005557C1">
            <w:pPr>
              <w:pStyle w:val="TableParagraph"/>
              <w:ind w:left="110" w:right="81"/>
              <w:jc w:val="both"/>
              <w:rPr>
                <w:sz w:val="24"/>
              </w:rPr>
            </w:pPr>
            <w:r>
              <w:rPr>
                <w:sz w:val="24"/>
              </w:rPr>
              <w:t xml:space="preserve">See report titled “To Agree the Independent Technical Evaluator one </w:t>
            </w:r>
            <w:r>
              <w:rPr>
                <w:spacing w:val="-4"/>
                <w:sz w:val="24"/>
              </w:rPr>
              <w:t xml:space="preserve">year </w:t>
            </w:r>
            <w:r>
              <w:rPr>
                <w:sz w:val="24"/>
              </w:rPr>
              <w:t>contract extension for services in</w:t>
            </w:r>
            <w:r>
              <w:rPr>
                <w:spacing w:val="-23"/>
                <w:sz w:val="24"/>
              </w:rPr>
              <w:t xml:space="preserve"> </w:t>
            </w:r>
            <w:r>
              <w:rPr>
                <w:sz w:val="24"/>
              </w:rPr>
              <w:t>2019/20”</w:t>
            </w:r>
          </w:p>
          <w:p w14:paraId="0DFBBE6C" w14:textId="77777777" w:rsidR="004C78EF" w:rsidRDefault="004C78EF">
            <w:pPr>
              <w:pStyle w:val="TableParagraph"/>
              <w:spacing w:before="1"/>
              <w:rPr>
                <w:i/>
                <w:sz w:val="24"/>
              </w:rPr>
            </w:pPr>
          </w:p>
          <w:p w14:paraId="0DFBBE6D" w14:textId="77777777" w:rsidR="004C78EF" w:rsidRDefault="005557C1">
            <w:pPr>
              <w:pStyle w:val="TableParagraph"/>
              <w:spacing w:line="242" w:lineRule="auto"/>
              <w:ind w:left="110" w:right="88"/>
              <w:jc w:val="both"/>
              <w:rPr>
                <w:sz w:val="24"/>
              </w:rPr>
            </w:pPr>
            <w:r>
              <w:rPr>
                <w:sz w:val="24"/>
              </w:rPr>
              <w:t>Report dated: 8</w:t>
            </w:r>
            <w:r>
              <w:rPr>
                <w:sz w:val="24"/>
                <w:vertAlign w:val="superscript"/>
              </w:rPr>
              <w:t>th</w:t>
            </w:r>
            <w:r>
              <w:rPr>
                <w:sz w:val="24"/>
              </w:rPr>
              <w:t xml:space="preserve"> April 2019</w:t>
            </w:r>
          </w:p>
          <w:p w14:paraId="0DFBBE6E" w14:textId="77777777" w:rsidR="004C78EF" w:rsidRDefault="004C78EF">
            <w:pPr>
              <w:pStyle w:val="TableParagraph"/>
              <w:spacing w:before="8"/>
              <w:rPr>
                <w:i/>
                <w:sz w:val="23"/>
              </w:rPr>
            </w:pPr>
          </w:p>
          <w:p w14:paraId="0DFBBE6F" w14:textId="77777777" w:rsidR="004C78EF" w:rsidRDefault="005557C1">
            <w:pPr>
              <w:pStyle w:val="TableParagraph"/>
              <w:spacing w:before="1" w:line="242" w:lineRule="auto"/>
              <w:ind w:left="110" w:right="86"/>
              <w:jc w:val="both"/>
              <w:rPr>
                <w:sz w:val="24"/>
              </w:rPr>
            </w:pPr>
            <w:r>
              <w:rPr>
                <w:sz w:val="24"/>
              </w:rPr>
              <w:t>Report author: Rhiannon Mort</w:t>
            </w:r>
          </w:p>
        </w:tc>
        <w:tc>
          <w:tcPr>
            <w:tcW w:w="3332" w:type="dxa"/>
          </w:tcPr>
          <w:p w14:paraId="0DFBBE70" w14:textId="77777777" w:rsidR="004C78EF" w:rsidRDefault="005557C1">
            <w:pPr>
              <w:pStyle w:val="TableParagraph"/>
              <w:ind w:left="105"/>
              <w:rPr>
                <w:sz w:val="24"/>
              </w:rPr>
            </w:pPr>
            <w:r>
              <w:rPr>
                <w:sz w:val="24"/>
              </w:rPr>
              <w:t>See supporting report</w:t>
            </w:r>
          </w:p>
        </w:tc>
        <w:tc>
          <w:tcPr>
            <w:tcW w:w="2247" w:type="dxa"/>
          </w:tcPr>
          <w:p w14:paraId="0DFBBE71" w14:textId="77777777" w:rsidR="004C78EF" w:rsidRDefault="005557C1">
            <w:pPr>
              <w:pStyle w:val="TableParagraph"/>
              <w:ind w:left="110"/>
              <w:rPr>
                <w:sz w:val="24"/>
              </w:rPr>
            </w:pPr>
            <w:r>
              <w:rPr>
                <w:sz w:val="24"/>
              </w:rPr>
              <w:t>None</w:t>
            </w:r>
          </w:p>
        </w:tc>
      </w:tr>
      <w:tr w:rsidR="004C78EF" w14:paraId="0DFBBE7B" w14:textId="77777777">
        <w:trPr>
          <w:trHeight w:val="3591"/>
        </w:trPr>
        <w:tc>
          <w:tcPr>
            <w:tcW w:w="1450" w:type="dxa"/>
          </w:tcPr>
          <w:p w14:paraId="0DFBBE73" w14:textId="77777777" w:rsidR="004C78EF" w:rsidRDefault="005557C1">
            <w:pPr>
              <w:pStyle w:val="TableParagraph"/>
              <w:ind w:left="105"/>
              <w:rPr>
                <w:sz w:val="24"/>
              </w:rPr>
            </w:pPr>
            <w:r>
              <w:rPr>
                <w:position w:val="-6"/>
                <w:sz w:val="24"/>
              </w:rPr>
              <w:t>18</w:t>
            </w:r>
            <w:proofErr w:type="spellStart"/>
            <w:r>
              <w:rPr>
                <w:sz w:val="16"/>
              </w:rPr>
              <w:t>th</w:t>
            </w:r>
            <w:proofErr w:type="spellEnd"/>
            <w:r>
              <w:rPr>
                <w:sz w:val="16"/>
              </w:rPr>
              <w:t xml:space="preserve"> </w:t>
            </w:r>
            <w:r>
              <w:rPr>
                <w:sz w:val="24"/>
              </w:rPr>
              <w:t>September 2019</w:t>
            </w:r>
          </w:p>
        </w:tc>
        <w:tc>
          <w:tcPr>
            <w:tcW w:w="3625" w:type="dxa"/>
          </w:tcPr>
          <w:p w14:paraId="0DFBBE74" w14:textId="77777777" w:rsidR="004C78EF" w:rsidRDefault="005557C1">
            <w:pPr>
              <w:pStyle w:val="TableParagraph"/>
              <w:ind w:left="105" w:right="188"/>
              <w:rPr>
                <w:sz w:val="24"/>
              </w:rPr>
            </w:pPr>
            <w:r>
              <w:rPr>
                <w:sz w:val="24"/>
              </w:rPr>
              <w:t>Chief Executive Officer decision to award £150,000 Growing Places Fund</w:t>
            </w:r>
            <w:r>
              <w:rPr>
                <w:spacing w:val="-15"/>
                <w:sz w:val="24"/>
              </w:rPr>
              <w:t xml:space="preserve"> </w:t>
            </w:r>
            <w:r>
              <w:rPr>
                <w:sz w:val="24"/>
              </w:rPr>
              <w:t>Revenue Grant to Kent County Council to support the delivery of the England’s Creative Coast project, following endorsement by the South East Local Enterprise Partnership Strategic</w:t>
            </w:r>
            <w:r>
              <w:rPr>
                <w:spacing w:val="-5"/>
                <w:sz w:val="24"/>
              </w:rPr>
              <w:t xml:space="preserve"> </w:t>
            </w:r>
            <w:r>
              <w:rPr>
                <w:sz w:val="24"/>
              </w:rPr>
              <w:t>Boar</w:t>
            </w:r>
            <w:r>
              <w:rPr>
                <w:sz w:val="24"/>
              </w:rPr>
              <w:t>d.</w:t>
            </w:r>
          </w:p>
        </w:tc>
        <w:tc>
          <w:tcPr>
            <w:tcW w:w="3068" w:type="dxa"/>
          </w:tcPr>
          <w:p w14:paraId="0DFBBE75" w14:textId="77777777" w:rsidR="004C78EF" w:rsidRDefault="005557C1">
            <w:pPr>
              <w:pStyle w:val="TableParagraph"/>
              <w:ind w:left="110" w:right="85"/>
              <w:jc w:val="both"/>
              <w:rPr>
                <w:sz w:val="24"/>
              </w:rPr>
            </w:pPr>
            <w:r>
              <w:rPr>
                <w:sz w:val="24"/>
              </w:rPr>
              <w:t>See report titled “To Agree Sector Support Fund</w:t>
            </w:r>
            <w:r>
              <w:rPr>
                <w:spacing w:val="-31"/>
                <w:sz w:val="24"/>
              </w:rPr>
              <w:t xml:space="preserve"> </w:t>
            </w:r>
            <w:r>
              <w:rPr>
                <w:sz w:val="24"/>
              </w:rPr>
              <w:t>Grant Allocation to the England’s Creative Coast project (formerly known as the Culture Coasting</w:t>
            </w:r>
            <w:r>
              <w:rPr>
                <w:spacing w:val="-7"/>
                <w:sz w:val="24"/>
              </w:rPr>
              <w:t xml:space="preserve"> </w:t>
            </w:r>
            <w:r>
              <w:rPr>
                <w:sz w:val="24"/>
              </w:rPr>
              <w:t>project)”</w:t>
            </w:r>
          </w:p>
          <w:p w14:paraId="0DFBBE76" w14:textId="77777777" w:rsidR="004C78EF" w:rsidRDefault="004C78EF">
            <w:pPr>
              <w:pStyle w:val="TableParagraph"/>
              <w:spacing w:before="10"/>
              <w:rPr>
                <w:i/>
                <w:sz w:val="23"/>
              </w:rPr>
            </w:pPr>
          </w:p>
          <w:p w14:paraId="0DFBBE77" w14:textId="77777777" w:rsidR="004C78EF" w:rsidRDefault="005557C1">
            <w:pPr>
              <w:pStyle w:val="TableParagraph"/>
              <w:spacing w:line="242" w:lineRule="auto"/>
              <w:ind w:left="110" w:right="85"/>
              <w:jc w:val="both"/>
              <w:rPr>
                <w:sz w:val="24"/>
              </w:rPr>
            </w:pPr>
            <w:r>
              <w:rPr>
                <w:sz w:val="24"/>
              </w:rPr>
              <w:t>Report dated: 16</w:t>
            </w:r>
            <w:r>
              <w:rPr>
                <w:sz w:val="24"/>
                <w:vertAlign w:val="superscript"/>
              </w:rPr>
              <w:t>th</w:t>
            </w:r>
            <w:r>
              <w:rPr>
                <w:sz w:val="24"/>
              </w:rPr>
              <w:t xml:space="preserve"> August 2019</w:t>
            </w:r>
          </w:p>
          <w:p w14:paraId="0DFBBE78" w14:textId="77777777" w:rsidR="004C78EF" w:rsidRDefault="005557C1">
            <w:pPr>
              <w:pStyle w:val="TableParagraph"/>
              <w:spacing w:before="56" w:line="552" w:lineRule="exact"/>
              <w:ind w:left="110" w:right="139"/>
              <w:jc w:val="both"/>
              <w:rPr>
                <w:sz w:val="24"/>
              </w:rPr>
            </w:pPr>
            <w:r>
              <w:rPr>
                <w:sz w:val="24"/>
              </w:rPr>
              <w:t xml:space="preserve">Report author: Helen Dyer Report published </w:t>
            </w:r>
            <w:hyperlink r:id="rId18">
              <w:r>
                <w:rPr>
                  <w:color w:val="0000FF"/>
                  <w:sz w:val="24"/>
                  <w:u w:val="single" w:color="0000FF"/>
                </w:rPr>
                <w:t>here</w:t>
              </w:r>
            </w:hyperlink>
            <w:r>
              <w:rPr>
                <w:sz w:val="24"/>
              </w:rPr>
              <w:t>.</w:t>
            </w:r>
          </w:p>
        </w:tc>
        <w:tc>
          <w:tcPr>
            <w:tcW w:w="3332" w:type="dxa"/>
          </w:tcPr>
          <w:p w14:paraId="0DFBBE79" w14:textId="77777777" w:rsidR="004C78EF" w:rsidRDefault="005557C1">
            <w:pPr>
              <w:pStyle w:val="TableParagraph"/>
              <w:ind w:left="105"/>
              <w:rPr>
                <w:sz w:val="24"/>
              </w:rPr>
            </w:pPr>
            <w:r>
              <w:rPr>
                <w:sz w:val="24"/>
              </w:rPr>
              <w:t>See supporting report</w:t>
            </w:r>
          </w:p>
        </w:tc>
        <w:tc>
          <w:tcPr>
            <w:tcW w:w="2247" w:type="dxa"/>
          </w:tcPr>
          <w:p w14:paraId="0DFBBE7A" w14:textId="77777777" w:rsidR="004C78EF" w:rsidRDefault="005557C1">
            <w:pPr>
              <w:pStyle w:val="TableParagraph"/>
              <w:ind w:left="110"/>
              <w:rPr>
                <w:sz w:val="24"/>
              </w:rPr>
            </w:pPr>
            <w:r>
              <w:rPr>
                <w:sz w:val="24"/>
              </w:rPr>
              <w:t>None</w:t>
            </w:r>
          </w:p>
        </w:tc>
      </w:tr>
    </w:tbl>
    <w:p w14:paraId="0DFBBE7C" w14:textId="77777777" w:rsidR="004C78EF" w:rsidRDefault="004C78EF">
      <w:pPr>
        <w:rPr>
          <w:sz w:val="24"/>
        </w:rPr>
        <w:sectPr w:rsidR="004C78EF">
          <w:pgSz w:w="16850" w:h="11920" w:orient="landscape"/>
          <w:pgMar w:top="104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404"/>
        <w:gridCol w:w="3005"/>
        <w:gridCol w:w="3269"/>
        <w:gridCol w:w="2203"/>
      </w:tblGrid>
      <w:tr w:rsidR="004C78EF" w14:paraId="0DFBBE86" w14:textId="77777777">
        <w:trPr>
          <w:trHeight w:val="5319"/>
        </w:trPr>
        <w:tc>
          <w:tcPr>
            <w:tcW w:w="1570" w:type="dxa"/>
          </w:tcPr>
          <w:p w14:paraId="0DFBBE7D" w14:textId="77777777" w:rsidR="004C78EF" w:rsidRDefault="005557C1">
            <w:pPr>
              <w:pStyle w:val="TableParagraph"/>
              <w:ind w:left="105" w:right="327"/>
              <w:rPr>
                <w:sz w:val="24"/>
              </w:rPr>
            </w:pPr>
            <w:r>
              <w:rPr>
                <w:position w:val="-6"/>
                <w:sz w:val="24"/>
              </w:rPr>
              <w:lastRenderedPageBreak/>
              <w:t>10</w:t>
            </w:r>
            <w:proofErr w:type="spellStart"/>
            <w:r>
              <w:rPr>
                <w:sz w:val="16"/>
              </w:rPr>
              <w:t>th</w:t>
            </w:r>
            <w:proofErr w:type="spellEnd"/>
            <w:r>
              <w:rPr>
                <w:sz w:val="16"/>
              </w:rPr>
              <w:t xml:space="preserve"> </w:t>
            </w:r>
            <w:r>
              <w:rPr>
                <w:sz w:val="24"/>
              </w:rPr>
              <w:t>December 2019</w:t>
            </w:r>
          </w:p>
        </w:tc>
        <w:tc>
          <w:tcPr>
            <w:tcW w:w="3404" w:type="dxa"/>
          </w:tcPr>
          <w:p w14:paraId="0DFBBE7E" w14:textId="77777777" w:rsidR="004C78EF" w:rsidRDefault="005557C1">
            <w:pPr>
              <w:pStyle w:val="TableParagraph"/>
              <w:ind w:left="105" w:right="333"/>
              <w:rPr>
                <w:sz w:val="24"/>
              </w:rPr>
            </w:pPr>
            <w:r>
              <w:rPr>
                <w:sz w:val="24"/>
              </w:rPr>
              <w:t>Chief Executive Officer decision to award £129,500 Growing Places Fund Revenue Grant to Kent County Council to support the delivery of the Energy and Clean Growth – Supply Chain Mapping project, following endorsement by the South East Local Enterprise Part</w:t>
            </w:r>
            <w:r>
              <w:rPr>
                <w:sz w:val="24"/>
              </w:rPr>
              <w:t>nership Strategic Board.</w:t>
            </w:r>
          </w:p>
        </w:tc>
        <w:tc>
          <w:tcPr>
            <w:tcW w:w="3005" w:type="dxa"/>
          </w:tcPr>
          <w:p w14:paraId="0DFBBE7F" w14:textId="77777777" w:rsidR="004C78EF" w:rsidRDefault="005557C1">
            <w:pPr>
              <w:pStyle w:val="TableParagraph"/>
              <w:ind w:left="115" w:right="75"/>
              <w:jc w:val="both"/>
              <w:rPr>
                <w:sz w:val="24"/>
              </w:rPr>
            </w:pPr>
            <w:r>
              <w:rPr>
                <w:sz w:val="24"/>
              </w:rPr>
              <w:t xml:space="preserve">See report titled “To Agree Sector Support Fund Grant Allocation to the Energy and Clean Growth – Supply </w:t>
            </w:r>
            <w:r>
              <w:rPr>
                <w:spacing w:val="-3"/>
                <w:sz w:val="24"/>
              </w:rPr>
              <w:t xml:space="preserve">Chain </w:t>
            </w:r>
            <w:r>
              <w:rPr>
                <w:sz w:val="24"/>
              </w:rPr>
              <w:t>Mapping</w:t>
            </w:r>
            <w:r>
              <w:rPr>
                <w:spacing w:val="-5"/>
                <w:sz w:val="24"/>
              </w:rPr>
              <w:t xml:space="preserve"> </w:t>
            </w:r>
            <w:r>
              <w:rPr>
                <w:sz w:val="24"/>
              </w:rPr>
              <w:t>project”</w:t>
            </w:r>
          </w:p>
          <w:p w14:paraId="0DFBBE80" w14:textId="77777777" w:rsidR="004C78EF" w:rsidRDefault="004C78EF">
            <w:pPr>
              <w:pStyle w:val="TableParagraph"/>
              <w:spacing w:before="1"/>
              <w:rPr>
                <w:i/>
                <w:sz w:val="24"/>
              </w:rPr>
            </w:pPr>
          </w:p>
          <w:p w14:paraId="0DFBBE81" w14:textId="77777777" w:rsidR="004C78EF" w:rsidRDefault="005557C1">
            <w:pPr>
              <w:pStyle w:val="TableParagraph"/>
              <w:spacing w:line="242" w:lineRule="auto"/>
              <w:ind w:left="115" w:right="70"/>
              <w:jc w:val="both"/>
              <w:rPr>
                <w:sz w:val="24"/>
              </w:rPr>
            </w:pPr>
            <w:r>
              <w:rPr>
                <w:sz w:val="24"/>
              </w:rPr>
              <w:t>Report dated: 21</w:t>
            </w:r>
            <w:r>
              <w:rPr>
                <w:sz w:val="24"/>
                <w:vertAlign w:val="superscript"/>
              </w:rPr>
              <w:t>st</w:t>
            </w:r>
            <w:r>
              <w:rPr>
                <w:sz w:val="24"/>
              </w:rPr>
              <w:t xml:space="preserve"> October 2019</w:t>
            </w:r>
          </w:p>
          <w:p w14:paraId="0DFBBE82" w14:textId="77777777" w:rsidR="004C78EF" w:rsidRDefault="004C78EF">
            <w:pPr>
              <w:pStyle w:val="TableParagraph"/>
              <w:spacing w:before="3"/>
              <w:rPr>
                <w:i/>
                <w:sz w:val="23"/>
              </w:rPr>
            </w:pPr>
          </w:p>
          <w:p w14:paraId="0DFBBE83" w14:textId="77777777" w:rsidR="004C78EF" w:rsidRDefault="005557C1">
            <w:pPr>
              <w:pStyle w:val="TableParagraph"/>
              <w:spacing w:line="477" w:lineRule="auto"/>
              <w:ind w:left="115" w:right="135"/>
              <w:jc w:val="both"/>
              <w:rPr>
                <w:sz w:val="24"/>
              </w:rPr>
            </w:pPr>
            <w:r>
              <w:rPr>
                <w:sz w:val="24"/>
              </w:rPr>
              <w:t xml:space="preserve">Report author: </w:t>
            </w:r>
            <w:r>
              <w:rPr>
                <w:spacing w:val="-5"/>
                <w:sz w:val="24"/>
              </w:rPr>
              <w:t xml:space="preserve">Helen </w:t>
            </w:r>
            <w:r>
              <w:rPr>
                <w:sz w:val="24"/>
              </w:rPr>
              <w:t xml:space="preserve">Dyer Report </w:t>
            </w:r>
            <w:r>
              <w:rPr>
                <w:spacing w:val="-3"/>
                <w:sz w:val="24"/>
              </w:rPr>
              <w:t xml:space="preserve">published </w:t>
            </w:r>
            <w:hyperlink r:id="rId19">
              <w:r>
                <w:rPr>
                  <w:color w:val="0000FF"/>
                  <w:sz w:val="24"/>
                  <w:u w:val="single" w:color="0000FF"/>
                </w:rPr>
                <w:t>here</w:t>
              </w:r>
            </w:hyperlink>
            <w:r>
              <w:rPr>
                <w:sz w:val="24"/>
              </w:rPr>
              <w:t>.</w:t>
            </w:r>
          </w:p>
        </w:tc>
        <w:tc>
          <w:tcPr>
            <w:tcW w:w="3269" w:type="dxa"/>
          </w:tcPr>
          <w:p w14:paraId="0DFBBE84" w14:textId="77777777" w:rsidR="004C78EF" w:rsidRDefault="005557C1">
            <w:pPr>
              <w:pStyle w:val="TableParagraph"/>
              <w:spacing w:line="273" w:lineRule="exact"/>
              <w:ind w:left="111"/>
              <w:rPr>
                <w:sz w:val="24"/>
              </w:rPr>
            </w:pPr>
            <w:r>
              <w:rPr>
                <w:sz w:val="24"/>
              </w:rPr>
              <w:t>See supporting report</w:t>
            </w:r>
          </w:p>
        </w:tc>
        <w:tc>
          <w:tcPr>
            <w:tcW w:w="2203" w:type="dxa"/>
          </w:tcPr>
          <w:p w14:paraId="0DFBBE85" w14:textId="77777777" w:rsidR="004C78EF" w:rsidRDefault="005557C1">
            <w:pPr>
              <w:pStyle w:val="TableParagraph"/>
              <w:spacing w:line="273" w:lineRule="exact"/>
              <w:ind w:left="111"/>
              <w:rPr>
                <w:sz w:val="24"/>
              </w:rPr>
            </w:pPr>
            <w:r>
              <w:rPr>
                <w:sz w:val="24"/>
              </w:rPr>
              <w:t>None</w:t>
            </w:r>
          </w:p>
        </w:tc>
      </w:tr>
    </w:tbl>
    <w:p w14:paraId="0DFBBE87" w14:textId="77777777" w:rsidR="004C78EF" w:rsidRDefault="004C78EF">
      <w:pPr>
        <w:spacing w:line="273" w:lineRule="exact"/>
        <w:rPr>
          <w:sz w:val="24"/>
        </w:rPr>
        <w:sectPr w:rsidR="004C78EF">
          <w:pgSz w:w="16850" w:h="11920" w:orient="landscape"/>
          <w:pgMar w:top="106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3404"/>
        <w:gridCol w:w="3005"/>
        <w:gridCol w:w="3269"/>
        <w:gridCol w:w="2203"/>
      </w:tblGrid>
      <w:tr w:rsidR="004C78EF" w14:paraId="0DFBBE91" w14:textId="77777777">
        <w:trPr>
          <w:trHeight w:val="5319"/>
        </w:trPr>
        <w:tc>
          <w:tcPr>
            <w:tcW w:w="1570" w:type="dxa"/>
          </w:tcPr>
          <w:p w14:paraId="0DFBBE88" w14:textId="77777777" w:rsidR="004C78EF" w:rsidRDefault="005557C1">
            <w:pPr>
              <w:pStyle w:val="TableParagraph"/>
              <w:ind w:left="105" w:right="474"/>
              <w:rPr>
                <w:sz w:val="24"/>
              </w:rPr>
            </w:pPr>
            <w:r>
              <w:rPr>
                <w:position w:val="-6"/>
                <w:sz w:val="24"/>
              </w:rPr>
              <w:lastRenderedPageBreak/>
              <w:t>6</w:t>
            </w:r>
            <w:proofErr w:type="spellStart"/>
            <w:r>
              <w:rPr>
                <w:sz w:val="16"/>
              </w:rPr>
              <w:t>th</w:t>
            </w:r>
            <w:proofErr w:type="spellEnd"/>
            <w:r>
              <w:rPr>
                <w:sz w:val="16"/>
              </w:rPr>
              <w:t xml:space="preserve"> </w:t>
            </w:r>
            <w:r>
              <w:rPr>
                <w:sz w:val="24"/>
              </w:rPr>
              <w:t>February 2020</w:t>
            </w:r>
          </w:p>
        </w:tc>
        <w:tc>
          <w:tcPr>
            <w:tcW w:w="3404" w:type="dxa"/>
          </w:tcPr>
          <w:p w14:paraId="0DFBBE89" w14:textId="77777777" w:rsidR="004C78EF" w:rsidRDefault="005557C1">
            <w:pPr>
              <w:pStyle w:val="TableParagraph"/>
              <w:ind w:left="105" w:right="333"/>
              <w:rPr>
                <w:sz w:val="24"/>
              </w:rPr>
            </w:pPr>
            <w:r>
              <w:rPr>
                <w:sz w:val="24"/>
              </w:rPr>
              <w:t>Chief Executive Officer decision to award £115,000 Growing Places Fund Revenue Grant to East Sussex County Council to support the delivery of the Accelerating Opportunities within the Newhaven Enterprise Zone project, following endorsement by the South Eas</w:t>
            </w:r>
            <w:r>
              <w:rPr>
                <w:sz w:val="24"/>
              </w:rPr>
              <w:t>t Local Enterprise Partnership Strategic Board.</w:t>
            </w:r>
          </w:p>
        </w:tc>
        <w:tc>
          <w:tcPr>
            <w:tcW w:w="3005" w:type="dxa"/>
          </w:tcPr>
          <w:p w14:paraId="0DFBBE8A" w14:textId="77777777" w:rsidR="004C78EF" w:rsidRDefault="005557C1">
            <w:pPr>
              <w:pStyle w:val="TableParagraph"/>
              <w:tabs>
                <w:tab w:val="left" w:pos="1598"/>
              </w:tabs>
              <w:ind w:left="115" w:right="76"/>
              <w:jc w:val="both"/>
              <w:rPr>
                <w:sz w:val="24"/>
              </w:rPr>
            </w:pPr>
            <w:r>
              <w:rPr>
                <w:sz w:val="24"/>
              </w:rPr>
              <w:t xml:space="preserve">See report titled “To Agree Sector </w:t>
            </w:r>
            <w:r>
              <w:rPr>
                <w:spacing w:val="-3"/>
                <w:sz w:val="24"/>
              </w:rPr>
              <w:t xml:space="preserve">Support </w:t>
            </w:r>
            <w:r>
              <w:rPr>
                <w:sz w:val="24"/>
              </w:rPr>
              <w:t>Fund Grant Allocation to the</w:t>
            </w:r>
            <w:r>
              <w:rPr>
                <w:sz w:val="24"/>
              </w:rPr>
              <w:tab/>
            </w:r>
            <w:r>
              <w:rPr>
                <w:spacing w:val="-3"/>
                <w:sz w:val="24"/>
              </w:rPr>
              <w:t xml:space="preserve">Accelerating </w:t>
            </w:r>
            <w:r>
              <w:rPr>
                <w:sz w:val="24"/>
              </w:rPr>
              <w:t xml:space="preserve">Opportunities within </w:t>
            </w:r>
            <w:r>
              <w:rPr>
                <w:spacing w:val="-4"/>
                <w:sz w:val="24"/>
              </w:rPr>
              <w:t xml:space="preserve">the </w:t>
            </w:r>
            <w:r>
              <w:rPr>
                <w:sz w:val="24"/>
              </w:rPr>
              <w:t xml:space="preserve">Newhaven </w:t>
            </w:r>
            <w:r>
              <w:rPr>
                <w:spacing w:val="-3"/>
                <w:sz w:val="24"/>
              </w:rPr>
              <w:t xml:space="preserve">Enterprise </w:t>
            </w:r>
            <w:r>
              <w:rPr>
                <w:sz w:val="24"/>
              </w:rPr>
              <w:t>Zone</w:t>
            </w:r>
            <w:r>
              <w:rPr>
                <w:spacing w:val="-4"/>
                <w:sz w:val="24"/>
              </w:rPr>
              <w:t xml:space="preserve"> </w:t>
            </w:r>
            <w:r>
              <w:rPr>
                <w:sz w:val="24"/>
              </w:rPr>
              <w:t>project”</w:t>
            </w:r>
          </w:p>
          <w:p w14:paraId="0DFBBE8B" w14:textId="77777777" w:rsidR="004C78EF" w:rsidRDefault="004C78EF">
            <w:pPr>
              <w:pStyle w:val="TableParagraph"/>
              <w:spacing w:before="3"/>
              <w:rPr>
                <w:i/>
                <w:sz w:val="23"/>
              </w:rPr>
            </w:pPr>
          </w:p>
          <w:p w14:paraId="0DFBBE8C" w14:textId="77777777" w:rsidR="004C78EF" w:rsidRDefault="005557C1">
            <w:pPr>
              <w:pStyle w:val="TableParagraph"/>
              <w:spacing w:line="242" w:lineRule="auto"/>
              <w:ind w:left="115" w:right="76"/>
              <w:jc w:val="both"/>
              <w:rPr>
                <w:sz w:val="24"/>
              </w:rPr>
            </w:pPr>
            <w:r>
              <w:rPr>
                <w:sz w:val="24"/>
              </w:rPr>
              <w:t>Report dated: 16</w:t>
            </w:r>
            <w:r>
              <w:rPr>
                <w:sz w:val="24"/>
                <w:vertAlign w:val="superscript"/>
              </w:rPr>
              <w:t>th</w:t>
            </w:r>
            <w:r>
              <w:rPr>
                <w:sz w:val="24"/>
              </w:rPr>
              <w:t xml:space="preserve"> December 2019</w:t>
            </w:r>
          </w:p>
          <w:p w14:paraId="0DFBBE8D" w14:textId="77777777" w:rsidR="004C78EF" w:rsidRDefault="004C78EF">
            <w:pPr>
              <w:pStyle w:val="TableParagraph"/>
              <w:spacing w:before="5"/>
              <w:rPr>
                <w:i/>
                <w:sz w:val="23"/>
              </w:rPr>
            </w:pPr>
          </w:p>
          <w:p w14:paraId="0DFBBE8E" w14:textId="77777777" w:rsidR="004C78EF" w:rsidRDefault="005557C1">
            <w:pPr>
              <w:pStyle w:val="TableParagraph"/>
              <w:spacing w:line="480" w:lineRule="auto"/>
              <w:ind w:left="115" w:right="135"/>
              <w:jc w:val="both"/>
              <w:rPr>
                <w:sz w:val="24"/>
              </w:rPr>
            </w:pPr>
            <w:r>
              <w:rPr>
                <w:sz w:val="24"/>
              </w:rPr>
              <w:t xml:space="preserve">Report author: </w:t>
            </w:r>
            <w:r>
              <w:rPr>
                <w:spacing w:val="-5"/>
                <w:sz w:val="24"/>
              </w:rPr>
              <w:t xml:space="preserve">Helen </w:t>
            </w:r>
            <w:r>
              <w:rPr>
                <w:sz w:val="24"/>
              </w:rPr>
              <w:t>Dyer Rep</w:t>
            </w:r>
            <w:r>
              <w:rPr>
                <w:sz w:val="24"/>
              </w:rPr>
              <w:t xml:space="preserve">ort </w:t>
            </w:r>
            <w:r>
              <w:rPr>
                <w:spacing w:val="-3"/>
                <w:sz w:val="24"/>
              </w:rPr>
              <w:t xml:space="preserve">published </w:t>
            </w:r>
            <w:hyperlink r:id="rId20">
              <w:r>
                <w:rPr>
                  <w:color w:val="0000FF"/>
                  <w:sz w:val="24"/>
                  <w:u w:val="single" w:color="0000FF"/>
                </w:rPr>
                <w:t>here</w:t>
              </w:r>
            </w:hyperlink>
            <w:r>
              <w:rPr>
                <w:sz w:val="24"/>
              </w:rPr>
              <w:t>.</w:t>
            </w:r>
          </w:p>
        </w:tc>
        <w:tc>
          <w:tcPr>
            <w:tcW w:w="3269" w:type="dxa"/>
          </w:tcPr>
          <w:p w14:paraId="0DFBBE8F" w14:textId="77777777" w:rsidR="004C78EF" w:rsidRDefault="005557C1">
            <w:pPr>
              <w:pStyle w:val="TableParagraph"/>
              <w:spacing w:line="267" w:lineRule="exact"/>
              <w:ind w:left="111"/>
              <w:rPr>
                <w:sz w:val="24"/>
              </w:rPr>
            </w:pPr>
            <w:r>
              <w:rPr>
                <w:sz w:val="24"/>
              </w:rPr>
              <w:t>See supporting report</w:t>
            </w:r>
          </w:p>
        </w:tc>
        <w:tc>
          <w:tcPr>
            <w:tcW w:w="2203" w:type="dxa"/>
          </w:tcPr>
          <w:p w14:paraId="0DFBBE90" w14:textId="77777777" w:rsidR="004C78EF" w:rsidRDefault="005557C1">
            <w:pPr>
              <w:pStyle w:val="TableParagraph"/>
              <w:spacing w:line="267" w:lineRule="exact"/>
              <w:ind w:left="111"/>
              <w:rPr>
                <w:sz w:val="24"/>
              </w:rPr>
            </w:pPr>
            <w:r>
              <w:rPr>
                <w:sz w:val="24"/>
              </w:rPr>
              <w:t>None</w:t>
            </w:r>
          </w:p>
        </w:tc>
      </w:tr>
    </w:tbl>
    <w:p w14:paraId="0DFBBE92" w14:textId="77777777" w:rsidR="004C78EF" w:rsidRDefault="004C78EF">
      <w:pPr>
        <w:spacing w:line="267" w:lineRule="exact"/>
        <w:rPr>
          <w:sz w:val="24"/>
        </w:rPr>
        <w:sectPr w:rsidR="004C78EF">
          <w:pgSz w:w="16850" w:h="11920" w:orient="landscape"/>
          <w:pgMar w:top="980" w:right="1320" w:bottom="280" w:left="12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3251"/>
        <w:gridCol w:w="3005"/>
        <w:gridCol w:w="3269"/>
        <w:gridCol w:w="2203"/>
      </w:tblGrid>
      <w:tr w:rsidR="004C78EF" w14:paraId="0DFBBE9E" w14:textId="77777777" w:rsidTr="005557C1">
        <w:trPr>
          <w:trHeight w:val="4959"/>
        </w:trPr>
        <w:tc>
          <w:tcPr>
            <w:tcW w:w="1723" w:type="dxa"/>
          </w:tcPr>
          <w:p w14:paraId="0DFBBE93" w14:textId="77777777" w:rsidR="004C78EF" w:rsidRDefault="005557C1">
            <w:pPr>
              <w:pStyle w:val="TableParagraph"/>
              <w:spacing w:line="242" w:lineRule="auto"/>
              <w:ind w:left="105" w:right="687"/>
              <w:rPr>
                <w:sz w:val="24"/>
              </w:rPr>
            </w:pPr>
            <w:r>
              <w:rPr>
                <w:sz w:val="24"/>
              </w:rPr>
              <w:lastRenderedPageBreak/>
              <w:t>August</w:t>
            </w:r>
            <w:r>
              <w:rPr>
                <w:sz w:val="24"/>
              </w:rPr>
              <w:t xml:space="preserve"> </w:t>
            </w:r>
            <w:r>
              <w:rPr>
                <w:sz w:val="24"/>
              </w:rPr>
              <w:t>2020</w:t>
            </w:r>
          </w:p>
        </w:tc>
        <w:tc>
          <w:tcPr>
            <w:tcW w:w="3251" w:type="dxa"/>
          </w:tcPr>
          <w:p w14:paraId="0DFBBE94" w14:textId="77777777" w:rsidR="004C78EF" w:rsidRDefault="005557C1">
            <w:pPr>
              <w:pStyle w:val="TableParagraph"/>
              <w:ind w:left="105" w:right="254"/>
              <w:rPr>
                <w:sz w:val="24"/>
              </w:rPr>
            </w:pPr>
            <w:r>
              <w:rPr>
                <w:sz w:val="24"/>
              </w:rPr>
              <w:t>Chief Executive Officer Decision to extend the existing goods and services agreement with FE Sussex for the Delivering Skills for the Future Project, awarding</w:t>
            </w:r>
          </w:p>
          <w:p w14:paraId="0DFBBE95" w14:textId="77777777" w:rsidR="004C78EF" w:rsidRDefault="005557C1">
            <w:pPr>
              <w:pStyle w:val="TableParagraph"/>
              <w:ind w:left="105" w:right="360"/>
              <w:rPr>
                <w:sz w:val="24"/>
              </w:rPr>
            </w:pPr>
            <w:r>
              <w:rPr>
                <w:sz w:val="24"/>
              </w:rPr>
              <w:t>£76,000 through the Sector Support Fund.</w:t>
            </w:r>
          </w:p>
        </w:tc>
        <w:tc>
          <w:tcPr>
            <w:tcW w:w="3005" w:type="dxa"/>
          </w:tcPr>
          <w:p w14:paraId="0DFBBE96" w14:textId="77777777" w:rsidR="004C78EF" w:rsidRDefault="004C78EF">
            <w:pPr>
              <w:pStyle w:val="TableParagraph"/>
              <w:spacing w:before="5"/>
              <w:rPr>
                <w:i/>
                <w:sz w:val="23"/>
              </w:rPr>
            </w:pPr>
          </w:p>
          <w:p w14:paraId="0DFBBE97" w14:textId="77777777" w:rsidR="004C78EF" w:rsidRDefault="005557C1">
            <w:pPr>
              <w:pStyle w:val="TableParagraph"/>
              <w:ind w:left="115" w:right="325"/>
              <w:rPr>
                <w:sz w:val="24"/>
              </w:rPr>
            </w:pPr>
            <w:r>
              <w:rPr>
                <w:sz w:val="24"/>
              </w:rPr>
              <w:t>The existing Goods and Services Agreement expired on 1/</w:t>
            </w:r>
            <w:r>
              <w:rPr>
                <w:sz w:val="24"/>
              </w:rPr>
              <w:t>08/2020.</w:t>
            </w:r>
          </w:p>
          <w:p w14:paraId="0DFBBE98" w14:textId="77777777" w:rsidR="004C78EF" w:rsidRDefault="005557C1">
            <w:pPr>
              <w:pStyle w:val="TableParagraph"/>
              <w:ind w:left="115" w:right="271"/>
              <w:rPr>
                <w:sz w:val="24"/>
              </w:rPr>
            </w:pPr>
            <w:r>
              <w:rPr>
                <w:sz w:val="24"/>
              </w:rPr>
              <w:t>Therefore, this sets out the payment arrangements and timetable for the extension period, further to funding being confirmed.</w:t>
            </w:r>
          </w:p>
        </w:tc>
        <w:tc>
          <w:tcPr>
            <w:tcW w:w="3269" w:type="dxa"/>
          </w:tcPr>
          <w:p w14:paraId="0DFBBE99" w14:textId="77777777" w:rsidR="004C78EF" w:rsidRDefault="004C78EF">
            <w:pPr>
              <w:pStyle w:val="TableParagraph"/>
              <w:spacing w:before="5"/>
              <w:rPr>
                <w:i/>
                <w:sz w:val="23"/>
              </w:rPr>
            </w:pPr>
          </w:p>
          <w:p w14:paraId="0DFBBE9A" w14:textId="77777777" w:rsidR="004C78EF" w:rsidRDefault="005557C1">
            <w:pPr>
              <w:pStyle w:val="TableParagraph"/>
              <w:ind w:left="111" w:right="180"/>
              <w:rPr>
                <w:sz w:val="24"/>
              </w:rPr>
            </w:pPr>
            <w:r>
              <w:rPr>
                <w:sz w:val="24"/>
              </w:rPr>
              <w:t xml:space="preserve">Further to the successful delivery of the Delivering Skills for the Future Project, an application for extension was approved by </w:t>
            </w:r>
            <w:r>
              <w:rPr>
                <w:sz w:val="24"/>
              </w:rPr>
              <w:t>the South East LEP Board to provide</w:t>
            </w:r>
          </w:p>
          <w:p w14:paraId="0DFBBE9B" w14:textId="77777777" w:rsidR="004C78EF" w:rsidRDefault="005557C1">
            <w:pPr>
              <w:pStyle w:val="TableParagraph"/>
              <w:ind w:left="111" w:right="-21"/>
              <w:rPr>
                <w:sz w:val="24"/>
              </w:rPr>
            </w:pPr>
            <w:r>
              <w:rPr>
                <w:rFonts w:ascii="Calibri" w:hAnsi="Calibri"/>
                <w:sz w:val="24"/>
              </w:rPr>
              <w:t>£</w:t>
            </w:r>
            <w:r>
              <w:rPr>
                <w:sz w:val="24"/>
              </w:rPr>
              <w:t>76,000 through its Sector Support Fund. This enables a further year of delivery by FE Sussex. A Notice of option to extend contract was sent on 24th August confirming the extension to July 2021. The total application wa</w:t>
            </w:r>
            <w:r>
              <w:rPr>
                <w:sz w:val="24"/>
              </w:rPr>
              <w:t>s</w:t>
            </w:r>
            <w:r>
              <w:rPr>
                <w:spacing w:val="-2"/>
                <w:sz w:val="24"/>
              </w:rPr>
              <w:t xml:space="preserve"> </w:t>
            </w:r>
            <w:r>
              <w:rPr>
                <w:sz w:val="24"/>
              </w:rPr>
              <w:t>for</w:t>
            </w:r>
          </w:p>
          <w:p w14:paraId="0DFBBE9C" w14:textId="77777777" w:rsidR="004C78EF" w:rsidRDefault="005557C1">
            <w:pPr>
              <w:pStyle w:val="TableParagraph"/>
              <w:ind w:left="111" w:right="71"/>
              <w:rPr>
                <w:sz w:val="24"/>
              </w:rPr>
            </w:pPr>
            <w:r>
              <w:rPr>
                <w:rFonts w:ascii="Calibri" w:hAnsi="Calibri"/>
                <w:sz w:val="24"/>
              </w:rPr>
              <w:t>£</w:t>
            </w:r>
            <w:r>
              <w:rPr>
                <w:sz w:val="24"/>
              </w:rPr>
              <w:t xml:space="preserve">126,000 with match funding of </w:t>
            </w:r>
            <w:r>
              <w:rPr>
                <w:rFonts w:ascii="Calibri" w:hAnsi="Calibri"/>
                <w:sz w:val="24"/>
              </w:rPr>
              <w:t>£</w:t>
            </w:r>
            <w:r>
              <w:rPr>
                <w:sz w:val="24"/>
              </w:rPr>
              <w:t>50,000 being provided.</w:t>
            </w:r>
          </w:p>
        </w:tc>
        <w:tc>
          <w:tcPr>
            <w:tcW w:w="2203" w:type="dxa"/>
          </w:tcPr>
          <w:p w14:paraId="0DFBBE9D" w14:textId="77777777" w:rsidR="004C78EF" w:rsidRDefault="005557C1">
            <w:pPr>
              <w:pStyle w:val="TableParagraph"/>
              <w:spacing w:line="267" w:lineRule="exact"/>
              <w:ind w:left="111"/>
              <w:rPr>
                <w:sz w:val="24"/>
              </w:rPr>
            </w:pPr>
            <w:r>
              <w:rPr>
                <w:sz w:val="24"/>
              </w:rPr>
              <w:t>None</w:t>
            </w:r>
          </w:p>
        </w:tc>
      </w:tr>
      <w:tr w:rsidR="00484623" w14:paraId="30CB871C" w14:textId="77777777" w:rsidTr="005557C1">
        <w:trPr>
          <w:trHeight w:val="4959"/>
        </w:trPr>
        <w:tc>
          <w:tcPr>
            <w:tcW w:w="1723" w:type="dxa"/>
          </w:tcPr>
          <w:p w14:paraId="0F528F92" w14:textId="60FB2ECA" w:rsidR="00484623" w:rsidRDefault="00484623">
            <w:pPr>
              <w:pStyle w:val="TableParagraph"/>
              <w:spacing w:line="242" w:lineRule="auto"/>
              <w:ind w:left="105" w:right="687"/>
              <w:rPr>
                <w:sz w:val="24"/>
              </w:rPr>
            </w:pPr>
            <w:r>
              <w:rPr>
                <w:sz w:val="24"/>
              </w:rPr>
              <w:t>January 2020</w:t>
            </w:r>
          </w:p>
        </w:tc>
        <w:tc>
          <w:tcPr>
            <w:tcW w:w="3251" w:type="dxa"/>
          </w:tcPr>
          <w:p w14:paraId="6D5A8291" w14:textId="0A4C929D" w:rsidR="00484623" w:rsidRDefault="00484623">
            <w:pPr>
              <w:pStyle w:val="TableParagraph"/>
              <w:ind w:left="105" w:right="254"/>
              <w:rPr>
                <w:sz w:val="24"/>
              </w:rPr>
            </w:pPr>
            <w:r>
              <w:rPr>
                <w:sz w:val="24"/>
              </w:rPr>
              <w:t xml:space="preserve">Chief Executive Officer Decision </w:t>
            </w:r>
            <w:r w:rsidR="006710FF">
              <w:rPr>
                <w:sz w:val="24"/>
              </w:rPr>
              <w:t xml:space="preserve">awarded £15,000 </w:t>
            </w:r>
            <w:r w:rsidR="00000937">
              <w:rPr>
                <w:sz w:val="24"/>
              </w:rPr>
              <w:t xml:space="preserve">to enter into a contract for services with </w:t>
            </w:r>
            <w:r w:rsidR="00000937" w:rsidRPr="00000937">
              <w:rPr>
                <w:sz w:val="24"/>
              </w:rPr>
              <w:t>Blueberry Marketing Solutions Limited</w:t>
            </w:r>
            <w:r w:rsidR="00000937">
              <w:rPr>
                <w:sz w:val="24"/>
              </w:rPr>
              <w:t xml:space="preserve"> to deliver </w:t>
            </w:r>
            <w:r w:rsidR="008A5A1E">
              <w:rPr>
                <w:sz w:val="24"/>
              </w:rPr>
              <w:t xml:space="preserve">an EU transition telephone campaign through the Growth Hub. </w:t>
            </w:r>
          </w:p>
        </w:tc>
        <w:tc>
          <w:tcPr>
            <w:tcW w:w="3005" w:type="dxa"/>
          </w:tcPr>
          <w:p w14:paraId="444FED29" w14:textId="5CCDEA7A" w:rsidR="00484623" w:rsidRPr="00B01ADD" w:rsidRDefault="004B6381">
            <w:pPr>
              <w:pStyle w:val="TableParagraph"/>
              <w:spacing w:before="5"/>
              <w:rPr>
                <w:iCs/>
                <w:sz w:val="23"/>
              </w:rPr>
            </w:pPr>
            <w:r w:rsidRPr="004B6381">
              <w:rPr>
                <w:iCs/>
                <w:sz w:val="23"/>
              </w:rPr>
              <w:t>The GLA, ECC and HCC are seeking a service provider to deliver an EU transition telephone campaign (through their respective “Growth Hubs”) to raise awareness and sign-post businesses (in particular small and medium enterprises) to relevant and timely information to help them prepare to keep operating beyond the EU transition period which ends on 31st December 2020</w:t>
            </w:r>
          </w:p>
        </w:tc>
        <w:tc>
          <w:tcPr>
            <w:tcW w:w="3269" w:type="dxa"/>
          </w:tcPr>
          <w:p w14:paraId="494A1ABB" w14:textId="456AEA6F" w:rsidR="00484623" w:rsidRPr="003D47E9" w:rsidRDefault="003D47E9">
            <w:pPr>
              <w:pStyle w:val="TableParagraph"/>
              <w:spacing w:before="5"/>
              <w:rPr>
                <w:iCs/>
                <w:sz w:val="23"/>
              </w:rPr>
            </w:pPr>
            <w:r>
              <w:rPr>
                <w:iCs/>
                <w:sz w:val="23"/>
              </w:rPr>
              <w:t>See supporting report.</w:t>
            </w:r>
          </w:p>
        </w:tc>
        <w:tc>
          <w:tcPr>
            <w:tcW w:w="2203" w:type="dxa"/>
          </w:tcPr>
          <w:p w14:paraId="3AF053CC" w14:textId="0CD7A948" w:rsidR="00484623" w:rsidRDefault="003D47E9">
            <w:pPr>
              <w:pStyle w:val="TableParagraph"/>
              <w:spacing w:line="267" w:lineRule="exact"/>
              <w:ind w:left="111"/>
              <w:rPr>
                <w:sz w:val="24"/>
              </w:rPr>
            </w:pPr>
            <w:r>
              <w:rPr>
                <w:sz w:val="24"/>
              </w:rPr>
              <w:t>None</w:t>
            </w:r>
          </w:p>
        </w:tc>
      </w:tr>
    </w:tbl>
    <w:p w14:paraId="0DFBBE9F" w14:textId="77777777" w:rsidR="00000000" w:rsidRDefault="005557C1"/>
    <w:sectPr w:rsidR="00000000">
      <w:pgSz w:w="16850" w:h="11920" w:orient="landscape"/>
      <w:pgMar w:top="98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234D"/>
    <w:multiLevelType w:val="hybridMultilevel"/>
    <w:tmpl w:val="DE52AB22"/>
    <w:lvl w:ilvl="0" w:tplc="B770B152">
      <w:start w:val="1"/>
      <w:numFmt w:val="decimal"/>
      <w:lvlText w:val="%1."/>
      <w:lvlJc w:val="left"/>
      <w:pPr>
        <w:ind w:left="960" w:hanging="360"/>
        <w:jc w:val="left"/>
      </w:pPr>
      <w:rPr>
        <w:rFonts w:ascii="Arial" w:eastAsia="Arial" w:hAnsi="Arial" w:cs="Arial" w:hint="default"/>
        <w:w w:val="100"/>
        <w:sz w:val="24"/>
        <w:szCs w:val="24"/>
        <w:lang w:val="en-GB" w:eastAsia="en-US" w:bidi="ar-SA"/>
      </w:rPr>
    </w:lvl>
    <w:lvl w:ilvl="1" w:tplc="4E625E3C">
      <w:numFmt w:val="bullet"/>
      <w:lvlText w:val="•"/>
      <w:lvlJc w:val="left"/>
      <w:pPr>
        <w:ind w:left="2296" w:hanging="360"/>
      </w:pPr>
      <w:rPr>
        <w:rFonts w:hint="default"/>
        <w:lang w:val="en-GB" w:eastAsia="en-US" w:bidi="ar-SA"/>
      </w:rPr>
    </w:lvl>
    <w:lvl w:ilvl="2" w:tplc="90A481C8">
      <w:numFmt w:val="bullet"/>
      <w:lvlText w:val="•"/>
      <w:lvlJc w:val="left"/>
      <w:pPr>
        <w:ind w:left="3633" w:hanging="360"/>
      </w:pPr>
      <w:rPr>
        <w:rFonts w:hint="default"/>
        <w:lang w:val="en-GB" w:eastAsia="en-US" w:bidi="ar-SA"/>
      </w:rPr>
    </w:lvl>
    <w:lvl w:ilvl="3" w:tplc="697C4F6A">
      <w:numFmt w:val="bullet"/>
      <w:lvlText w:val="•"/>
      <w:lvlJc w:val="left"/>
      <w:pPr>
        <w:ind w:left="4970" w:hanging="360"/>
      </w:pPr>
      <w:rPr>
        <w:rFonts w:hint="default"/>
        <w:lang w:val="en-GB" w:eastAsia="en-US" w:bidi="ar-SA"/>
      </w:rPr>
    </w:lvl>
    <w:lvl w:ilvl="4" w:tplc="EE6E94D0">
      <w:numFmt w:val="bullet"/>
      <w:lvlText w:val="•"/>
      <w:lvlJc w:val="left"/>
      <w:pPr>
        <w:ind w:left="6307" w:hanging="360"/>
      </w:pPr>
      <w:rPr>
        <w:rFonts w:hint="default"/>
        <w:lang w:val="en-GB" w:eastAsia="en-US" w:bidi="ar-SA"/>
      </w:rPr>
    </w:lvl>
    <w:lvl w:ilvl="5" w:tplc="6B1CACA4">
      <w:numFmt w:val="bullet"/>
      <w:lvlText w:val="•"/>
      <w:lvlJc w:val="left"/>
      <w:pPr>
        <w:ind w:left="7644" w:hanging="360"/>
      </w:pPr>
      <w:rPr>
        <w:rFonts w:hint="default"/>
        <w:lang w:val="en-GB" w:eastAsia="en-US" w:bidi="ar-SA"/>
      </w:rPr>
    </w:lvl>
    <w:lvl w:ilvl="6" w:tplc="8F564914">
      <w:numFmt w:val="bullet"/>
      <w:lvlText w:val="•"/>
      <w:lvlJc w:val="left"/>
      <w:pPr>
        <w:ind w:left="8980" w:hanging="360"/>
      </w:pPr>
      <w:rPr>
        <w:rFonts w:hint="default"/>
        <w:lang w:val="en-GB" w:eastAsia="en-US" w:bidi="ar-SA"/>
      </w:rPr>
    </w:lvl>
    <w:lvl w:ilvl="7" w:tplc="D25A7486">
      <w:numFmt w:val="bullet"/>
      <w:lvlText w:val="•"/>
      <w:lvlJc w:val="left"/>
      <w:pPr>
        <w:ind w:left="10317" w:hanging="360"/>
      </w:pPr>
      <w:rPr>
        <w:rFonts w:hint="default"/>
        <w:lang w:val="en-GB" w:eastAsia="en-US" w:bidi="ar-SA"/>
      </w:rPr>
    </w:lvl>
    <w:lvl w:ilvl="8" w:tplc="9DE00DDE">
      <w:numFmt w:val="bullet"/>
      <w:lvlText w:val="•"/>
      <w:lvlJc w:val="left"/>
      <w:pPr>
        <w:ind w:left="11654" w:hanging="360"/>
      </w:pPr>
      <w:rPr>
        <w:rFonts w:hint="default"/>
        <w:lang w:val="en-GB" w:eastAsia="en-US" w:bidi="ar-SA"/>
      </w:rPr>
    </w:lvl>
  </w:abstractNum>
  <w:abstractNum w:abstractNumId="1" w15:restartNumberingAfterBreak="0">
    <w:nsid w:val="20DC3E92"/>
    <w:multiLevelType w:val="hybridMultilevel"/>
    <w:tmpl w:val="51C44FF8"/>
    <w:lvl w:ilvl="0" w:tplc="4D3671EE">
      <w:start w:val="1"/>
      <w:numFmt w:val="decimal"/>
      <w:lvlText w:val="%1."/>
      <w:lvlJc w:val="left"/>
      <w:pPr>
        <w:ind w:left="960" w:hanging="360"/>
        <w:jc w:val="left"/>
      </w:pPr>
      <w:rPr>
        <w:rFonts w:ascii="Arial" w:eastAsia="Arial" w:hAnsi="Arial" w:cs="Arial" w:hint="default"/>
        <w:w w:val="100"/>
        <w:sz w:val="24"/>
        <w:szCs w:val="24"/>
        <w:lang w:val="en-GB" w:eastAsia="en-US" w:bidi="ar-SA"/>
      </w:rPr>
    </w:lvl>
    <w:lvl w:ilvl="1" w:tplc="32927740">
      <w:numFmt w:val="bullet"/>
      <w:lvlText w:val="•"/>
      <w:lvlJc w:val="left"/>
      <w:pPr>
        <w:ind w:left="2296" w:hanging="360"/>
      </w:pPr>
      <w:rPr>
        <w:rFonts w:hint="default"/>
        <w:lang w:val="en-GB" w:eastAsia="en-US" w:bidi="ar-SA"/>
      </w:rPr>
    </w:lvl>
    <w:lvl w:ilvl="2" w:tplc="4F9EC7AE">
      <w:numFmt w:val="bullet"/>
      <w:lvlText w:val="•"/>
      <w:lvlJc w:val="left"/>
      <w:pPr>
        <w:ind w:left="3633" w:hanging="360"/>
      </w:pPr>
      <w:rPr>
        <w:rFonts w:hint="default"/>
        <w:lang w:val="en-GB" w:eastAsia="en-US" w:bidi="ar-SA"/>
      </w:rPr>
    </w:lvl>
    <w:lvl w:ilvl="3" w:tplc="DF4622C6">
      <w:numFmt w:val="bullet"/>
      <w:lvlText w:val="•"/>
      <w:lvlJc w:val="left"/>
      <w:pPr>
        <w:ind w:left="4970" w:hanging="360"/>
      </w:pPr>
      <w:rPr>
        <w:rFonts w:hint="default"/>
        <w:lang w:val="en-GB" w:eastAsia="en-US" w:bidi="ar-SA"/>
      </w:rPr>
    </w:lvl>
    <w:lvl w:ilvl="4" w:tplc="88F6A8E4">
      <w:numFmt w:val="bullet"/>
      <w:lvlText w:val="•"/>
      <w:lvlJc w:val="left"/>
      <w:pPr>
        <w:ind w:left="6307" w:hanging="360"/>
      </w:pPr>
      <w:rPr>
        <w:rFonts w:hint="default"/>
        <w:lang w:val="en-GB" w:eastAsia="en-US" w:bidi="ar-SA"/>
      </w:rPr>
    </w:lvl>
    <w:lvl w:ilvl="5" w:tplc="C6240BEC">
      <w:numFmt w:val="bullet"/>
      <w:lvlText w:val="•"/>
      <w:lvlJc w:val="left"/>
      <w:pPr>
        <w:ind w:left="7644" w:hanging="360"/>
      </w:pPr>
      <w:rPr>
        <w:rFonts w:hint="default"/>
        <w:lang w:val="en-GB" w:eastAsia="en-US" w:bidi="ar-SA"/>
      </w:rPr>
    </w:lvl>
    <w:lvl w:ilvl="6" w:tplc="9854447E">
      <w:numFmt w:val="bullet"/>
      <w:lvlText w:val="•"/>
      <w:lvlJc w:val="left"/>
      <w:pPr>
        <w:ind w:left="8980" w:hanging="360"/>
      </w:pPr>
      <w:rPr>
        <w:rFonts w:hint="default"/>
        <w:lang w:val="en-GB" w:eastAsia="en-US" w:bidi="ar-SA"/>
      </w:rPr>
    </w:lvl>
    <w:lvl w:ilvl="7" w:tplc="0958B412">
      <w:numFmt w:val="bullet"/>
      <w:lvlText w:val="•"/>
      <w:lvlJc w:val="left"/>
      <w:pPr>
        <w:ind w:left="10317" w:hanging="360"/>
      </w:pPr>
      <w:rPr>
        <w:rFonts w:hint="default"/>
        <w:lang w:val="en-GB" w:eastAsia="en-US" w:bidi="ar-SA"/>
      </w:rPr>
    </w:lvl>
    <w:lvl w:ilvl="8" w:tplc="9B988EB0">
      <w:numFmt w:val="bullet"/>
      <w:lvlText w:val="•"/>
      <w:lvlJc w:val="left"/>
      <w:pPr>
        <w:ind w:left="11654" w:hanging="360"/>
      </w:pPr>
      <w:rPr>
        <w:rFonts w:hint="default"/>
        <w:lang w:val="en-GB"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C78EF"/>
    <w:rsid w:val="00000937"/>
    <w:rsid w:val="0022373D"/>
    <w:rsid w:val="003D47E9"/>
    <w:rsid w:val="00484623"/>
    <w:rsid w:val="004B6381"/>
    <w:rsid w:val="004C78EF"/>
    <w:rsid w:val="005557C1"/>
    <w:rsid w:val="006710FF"/>
    <w:rsid w:val="008A5A1E"/>
    <w:rsid w:val="00B01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BD84"/>
  <w15:docId w15:val="{69501F8D-A082-4863-98FC-EF4D0374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sz w:val="24"/>
      <w:szCs w:val="24"/>
    </w:rPr>
  </w:style>
  <w:style w:type="paragraph" w:styleId="ListParagraph">
    <w:name w:val="List Paragraph"/>
    <w:basedOn w:val="Normal"/>
    <w:uiPriority w:val="1"/>
    <w:qFormat/>
    <w:pPr>
      <w:ind w:left="9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4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23"/>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xecutive.Decisions@essex.gov.uk" TargetMode="External"/><Relationship Id="rId13" Type="http://schemas.openxmlformats.org/officeDocument/2006/relationships/hyperlink" Target="https://www.southeastlep.com/app/uploads/2018/12/Kent-Medical-Campus-SSF-Decision-report.pdf" TargetMode="External"/><Relationship Id="rId18" Type="http://schemas.openxmlformats.org/officeDocument/2006/relationships/hyperlink" Target="https://www.southeastlep.com/app/uploads/2019/09/SSF-Decision-Report-Englands-Creative-Coas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outheastlep.com/app/uploads/2018/12/Gourmet-Garden-Trails-SSF-Decision-Report.pdf" TargetMode="External"/><Relationship Id="rId17" Type="http://schemas.openxmlformats.org/officeDocument/2006/relationships/hyperlink" Target="https://www.southeastlep.com/app/uploads/2019/04/SSF-Decision-Report-SECEN-Creative-Open-Workspace.pdf" TargetMode="External"/><Relationship Id="rId2" Type="http://schemas.openxmlformats.org/officeDocument/2006/relationships/customXml" Target="../customXml/item2.xml"/><Relationship Id="rId16" Type="http://schemas.openxmlformats.org/officeDocument/2006/relationships/hyperlink" Target="https://www.southeastlep.com/app/uploads/2018/12/SSF-Decision-Report-Delivering-skills-of-the-future-through-teaching.pdf" TargetMode="External"/><Relationship Id="rId20" Type="http://schemas.openxmlformats.org/officeDocument/2006/relationships/hyperlink" Target="https://www.southeastlep.com/app/uploads/2020/02/SSF-Decision-Report-Newhaven-Enterprise-Zon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eastlep.com/app/uploads/2018/12/Good-Food-Growth-Campaign-SSF-Decision-report.pdf" TargetMode="External"/><Relationship Id="rId5" Type="http://schemas.openxmlformats.org/officeDocument/2006/relationships/styles" Target="styles.xml"/><Relationship Id="rId15" Type="http://schemas.openxmlformats.org/officeDocument/2006/relationships/hyperlink" Target="https://www.southeastlep.com/app/uploads/2018/12/SSF-Decision-Report-Coastal-Communities-Supplement-to-the-SELEP-Strategic-Economic-Plan.pdf" TargetMode="External"/><Relationship Id="rId10" Type="http://schemas.openxmlformats.org/officeDocument/2006/relationships/hyperlink" Target="https://www.southeastlep.com/app/uploads/2018/12/Future-Proof-SSF-Decision-report.pdf" TargetMode="External"/><Relationship Id="rId19" Type="http://schemas.openxmlformats.org/officeDocument/2006/relationships/hyperlink" Target="https://www.southeastlep.com/app/uploads/2019/12/SSF-Decision-Report-Clean-Growth.pdf" TargetMode="External"/><Relationship Id="rId4" Type="http://schemas.openxmlformats.org/officeDocument/2006/relationships/numbering" Target="numbering.xml"/><Relationship Id="rId9" Type="http://schemas.openxmlformats.org/officeDocument/2006/relationships/hyperlink" Target="https://www.southeastlep.com/app/uploads/2018/07/North-Kent-Enterprise-Zone-Decision-Report-Approved.pdf" TargetMode="External"/><Relationship Id="rId14" Type="http://schemas.openxmlformats.org/officeDocument/2006/relationships/hyperlink" Target="https://www.southeastlep.com/app/uploads/2018/12/Future-skills-for-Rural-Businesses-SSF-Decision-repo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40115CE38BA4887FB44FFC4930494" ma:contentTypeVersion="10" ma:contentTypeDescription="Create a new document." ma:contentTypeScope="" ma:versionID="9a95f2db7aa56282d2ec982df28706b9">
  <xsd:schema xmlns:xsd="http://www.w3.org/2001/XMLSchema" xmlns:xs="http://www.w3.org/2001/XMLSchema" xmlns:p="http://schemas.microsoft.com/office/2006/metadata/properties" xmlns:ns2="35d58d40-4d38-4034-9aa0-947981ca03f7" xmlns:ns3="1c38ebfb-f33d-4129-9839-511bf402f3e9" targetNamespace="http://schemas.microsoft.com/office/2006/metadata/properties" ma:root="true" ma:fieldsID="277389d4fb3e8cce07482a7eb750bb6c" ns2:_="" ns3:_="">
    <xsd:import namespace="35d58d40-4d38-4034-9aa0-947981ca03f7"/>
    <xsd:import namespace="1c38ebfb-f33d-4129-9839-511bf402f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8d40-4d38-4034-9aa0-947981ca0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38ebfb-f33d-4129-9839-511bf402f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4C27B-EA19-4911-81FF-E9B252661CFF}">
  <ds:schemaRefs>
    <ds:schemaRef ds:uri="http://schemas.microsoft.com/sharepoint/v3/contenttype/forms"/>
  </ds:schemaRefs>
</ds:datastoreItem>
</file>

<file path=customXml/itemProps2.xml><?xml version="1.0" encoding="utf-8"?>
<ds:datastoreItem xmlns:ds="http://schemas.openxmlformats.org/officeDocument/2006/customXml" ds:itemID="{6344BB76-057C-442A-92AF-65DDF398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8d40-4d38-4034-9aa0-947981ca03f7"/>
    <ds:schemaRef ds:uri="1c38ebfb-f33d-4129-9839-511bf402f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4B83C-8CFC-4504-B997-1C6F9DE1F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2138</Words>
  <Characters>12189</Characters>
  <Application>Microsoft Office Word</Application>
  <DocSecurity>0</DocSecurity>
  <Lines>101</Lines>
  <Paragraphs>28</Paragraphs>
  <ScaleCrop>false</ScaleCrop>
  <Company>Essex County Council</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Governance Executive Decisions - May 2019</dc:title>
  <dc:creator>amy.ferraro</dc:creator>
  <cp:lastModifiedBy>Amy Ferraro - Governance Officer (SELEP)</cp:lastModifiedBy>
  <cp:revision>10</cp:revision>
  <dcterms:created xsi:type="dcterms:W3CDTF">2021-01-22T10:32:00Z</dcterms:created>
  <dcterms:modified xsi:type="dcterms:W3CDTF">2021-01-27T11:10:00Z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ontentTypeId">
    <vt:lpwstr>0x010100BEE40115CE38BA4887FB44FFC4930494</vt:lpwstr>
  </property>
  <property fmtid="{D5CDD505-2E9C-101B-9397-08002B2CF9AE}" pid="6" name="MSIP_Label_39d8be9e-c8d9-4b9c-bd40-2c27cc7ea2e6_Enabled">
    <vt:lpwstr>true</vt:lpwstr>
  </property>
  <property fmtid="{D5CDD505-2E9C-101B-9397-08002B2CF9AE}" pid="7" name="MSIP_Label_39d8be9e-c8d9-4b9c-bd40-2c27cc7ea2e6_SetDate">
    <vt:lpwstr>2021-01-27T11:10:41Z</vt:lpwstr>
  </property>
  <property fmtid="{D5CDD505-2E9C-101B-9397-08002B2CF9AE}" pid="8" name="MSIP_Label_39d8be9e-c8d9-4b9c-bd40-2c27cc7ea2e6_Method">
    <vt:lpwstr>Standard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iteId">
    <vt:lpwstr>a8b4324f-155c-4215-a0f1-7ed8cc9a992f</vt:lpwstr>
  </property>
  <property fmtid="{D5CDD505-2E9C-101B-9397-08002B2CF9AE}" pid="11" name="MSIP_Label_39d8be9e-c8d9-4b9c-bd40-2c27cc7ea2e6_ActionId">
    <vt:lpwstr>d7d2eb51-6432-422d-bbff-00001490fac9</vt:lpwstr>
  </property>
  <property fmtid="{D5CDD505-2E9C-101B-9397-08002B2CF9AE}" pid="12" name="MSIP_Label_39d8be9e-c8d9-4b9c-bd40-2c27cc7ea2e6_ContentBits">
    <vt:lpwstr>0</vt:lpwstr>
  </property>
</Properties>
</file>