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5D" w:rsidRPr="00A16E49" w:rsidRDefault="00F33B9C" w:rsidP="00A6395D">
      <w:pPr>
        <w:spacing w:after="120" w:line="240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APPLICANT’S </w:t>
      </w:r>
      <w:r w:rsidR="00A6395D" w:rsidRPr="00A16E49">
        <w:rPr>
          <w:b/>
          <w:sz w:val="28"/>
          <w:szCs w:val="20"/>
        </w:rPr>
        <w:t>PROJECT SUMMARY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2"/>
        <w:gridCol w:w="4807"/>
      </w:tblGrid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Project Title:</w:t>
            </w:r>
          </w:p>
        </w:tc>
        <w:tc>
          <w:tcPr>
            <w:tcW w:w="2411" w:type="pct"/>
          </w:tcPr>
          <w:p w:rsidR="00A6395D" w:rsidRPr="00687172" w:rsidRDefault="00687172" w:rsidP="00687172">
            <w:pPr>
              <w:spacing w:after="0" w:line="240" w:lineRule="auto"/>
            </w:pPr>
            <w:r>
              <w:t>Unlocking Business Growth - Priory Quarter Phase 3, Hastings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Contracting local authority (the Borrower)</w:t>
            </w:r>
          </w:p>
        </w:tc>
        <w:tc>
          <w:tcPr>
            <w:tcW w:w="2411" w:type="pct"/>
          </w:tcPr>
          <w:p w:rsidR="00A6395D" w:rsidRPr="00383B29" w:rsidRDefault="00687172" w:rsidP="00A31D58">
            <w:pPr>
              <w:spacing w:after="0" w:line="240" w:lineRule="auto"/>
              <w:rPr>
                <w:highlight w:val="yellow"/>
              </w:rPr>
            </w:pPr>
            <w:r>
              <w:t xml:space="preserve">East Sussex County Council 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Decision making process</w:t>
            </w:r>
          </w:p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pct"/>
          </w:tcPr>
          <w:p w:rsidR="00A6395D" w:rsidRPr="00970038" w:rsidRDefault="00687172" w:rsidP="00687172">
            <w:pPr>
              <w:spacing w:after="0" w:line="240" w:lineRule="auto"/>
            </w:pPr>
            <w:r>
              <w:t>East Sussex County Council Cabinet as “borrower “ - Cabinet -24th April 2012 - Full Council - 15th May 2012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Project Description</w:t>
            </w:r>
          </w:p>
        </w:tc>
        <w:tc>
          <w:tcPr>
            <w:tcW w:w="2411" w:type="pct"/>
          </w:tcPr>
          <w:p w:rsidR="00A6395D" w:rsidRPr="0013710F" w:rsidRDefault="00687172" w:rsidP="007D2D2A">
            <w:pPr>
              <w:spacing w:after="0" w:line="240" w:lineRule="auto"/>
            </w:pPr>
            <w:r>
              <w:t xml:space="preserve">To </w:t>
            </w:r>
            <w:r w:rsidRPr="00687172">
              <w:t xml:space="preserve">provide 2,323m2 (25,000sq </w:t>
            </w:r>
            <w:proofErr w:type="spellStart"/>
            <w:r w:rsidRPr="00687172">
              <w:t>ft</w:t>
            </w:r>
            <w:proofErr w:type="spellEnd"/>
            <w:r w:rsidRPr="00687172">
              <w:t xml:space="preserve">) of high quality office premises at Priory Quarter in Hastings town centre to meet the needs of expressed private sector employer interest wishing to expand their operation in the town 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Growing Places Funds required</w:t>
            </w:r>
          </w:p>
        </w:tc>
        <w:tc>
          <w:tcPr>
            <w:tcW w:w="2411" w:type="pct"/>
          </w:tcPr>
          <w:p w:rsidR="00A6395D" w:rsidRPr="00383B29" w:rsidRDefault="00A84C6C" w:rsidP="00687172">
            <w:pPr>
              <w:spacing w:after="0" w:line="240" w:lineRule="auto"/>
              <w:rPr>
                <w:highlight w:val="yellow"/>
              </w:rPr>
            </w:pPr>
            <w:r w:rsidRPr="00A84C6C">
              <w:t>£</w:t>
            </w:r>
            <w:r w:rsidR="00687172">
              <w:t>7,000,000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Timescale for project delivery (start and finish date)</w:t>
            </w:r>
          </w:p>
        </w:tc>
        <w:tc>
          <w:tcPr>
            <w:tcW w:w="2411" w:type="pct"/>
          </w:tcPr>
          <w:p w:rsidR="00A6395D" w:rsidRPr="00383B29" w:rsidRDefault="00687172" w:rsidP="007D2D2A">
            <w:pPr>
              <w:spacing w:after="0" w:line="240" w:lineRule="auto"/>
              <w:rPr>
                <w:highlight w:val="yellow"/>
              </w:rPr>
            </w:pPr>
            <w:r w:rsidRPr="00687172">
              <w:t xml:space="preserve">Demolition in </w:t>
            </w:r>
            <w:proofErr w:type="spellStart"/>
            <w:r w:rsidRPr="00687172">
              <w:t>mid 2012</w:t>
            </w:r>
            <w:proofErr w:type="spellEnd"/>
            <w:r w:rsidR="007D2D2A">
              <w:t xml:space="preserve">, </w:t>
            </w:r>
            <w:r w:rsidRPr="00687172">
              <w:t>building works in</w:t>
            </w:r>
            <w:r w:rsidR="007D2D2A">
              <w:t xml:space="preserve"> Q3 2012</w:t>
            </w:r>
            <w:r w:rsidRPr="00687172">
              <w:t xml:space="preserve"> 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Draw down profile (£ per year)</w:t>
            </w:r>
          </w:p>
        </w:tc>
        <w:tc>
          <w:tcPr>
            <w:tcW w:w="2411" w:type="pct"/>
          </w:tcPr>
          <w:p w:rsidR="006D65F3" w:rsidRDefault="006D65F3" w:rsidP="0029762C">
            <w:pPr>
              <w:spacing w:after="0" w:line="240" w:lineRule="auto"/>
            </w:pPr>
            <w:r>
              <w:t>2012/13 £1,425,000</w:t>
            </w:r>
            <w:r w:rsidR="007D2D2A">
              <w:t xml:space="preserve">; </w:t>
            </w:r>
            <w:r>
              <w:t>2013/14 £4,825,000</w:t>
            </w:r>
          </w:p>
          <w:p w:rsidR="00A6395D" w:rsidRPr="00383B29" w:rsidRDefault="006D65F3" w:rsidP="007D2D2A">
            <w:pPr>
              <w:spacing w:after="0" w:line="240" w:lineRule="auto"/>
              <w:rPr>
                <w:highlight w:val="yellow"/>
              </w:rPr>
            </w:pPr>
            <w:r>
              <w:t>2014/15 £715,000</w:t>
            </w:r>
            <w:r w:rsidR="007D2D2A">
              <w:t xml:space="preserve">; </w:t>
            </w:r>
            <w:r>
              <w:t>2015/16 £</w:t>
            </w:r>
            <w:r w:rsidRPr="006D65F3">
              <w:t>35</w:t>
            </w:r>
            <w:r>
              <w:t>,</w:t>
            </w:r>
            <w:r w:rsidRPr="006D65F3">
              <w:t>000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Repayment profile (£ per year</w:t>
            </w:r>
          </w:p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pct"/>
          </w:tcPr>
          <w:p w:rsidR="00687172" w:rsidRDefault="00687172" w:rsidP="0029762C">
            <w:pPr>
              <w:spacing w:after="0" w:line="240" w:lineRule="auto"/>
            </w:pPr>
            <w:r>
              <w:t>2016/17 £400k</w:t>
            </w:r>
            <w:r w:rsidR="007D2D2A">
              <w:t xml:space="preserve">; </w:t>
            </w:r>
            <w:r>
              <w:t>2017/18 £400k</w:t>
            </w:r>
          </w:p>
          <w:p w:rsidR="00687172" w:rsidRDefault="00687172" w:rsidP="0029762C">
            <w:pPr>
              <w:spacing w:after="0" w:line="240" w:lineRule="auto"/>
            </w:pPr>
            <w:r>
              <w:t>2018/19 £400k</w:t>
            </w:r>
            <w:r w:rsidR="007D2D2A">
              <w:t xml:space="preserve">; </w:t>
            </w:r>
            <w:r>
              <w:t>2019/20 £400k;</w:t>
            </w:r>
          </w:p>
          <w:p w:rsidR="00E866BC" w:rsidRPr="0029762C" w:rsidRDefault="00687172" w:rsidP="0029762C">
            <w:pPr>
              <w:spacing w:after="0" w:line="240" w:lineRule="auto"/>
            </w:pPr>
            <w:r w:rsidRPr="00687172">
              <w:t>2020/21 £5,400k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Total Cost of Project</w:t>
            </w:r>
          </w:p>
        </w:tc>
        <w:tc>
          <w:tcPr>
            <w:tcW w:w="2411" w:type="pct"/>
          </w:tcPr>
          <w:p w:rsidR="00A6395D" w:rsidRPr="00383B29" w:rsidRDefault="00A84C6C" w:rsidP="00687172">
            <w:pPr>
              <w:spacing w:after="0" w:line="240" w:lineRule="auto"/>
              <w:rPr>
                <w:highlight w:val="yellow"/>
              </w:rPr>
            </w:pPr>
            <w:r w:rsidRPr="00A84C6C">
              <w:t>£</w:t>
            </w:r>
            <w:r w:rsidR="00BC64F3" w:rsidRPr="00BC64F3">
              <w:t>7,</w:t>
            </w:r>
            <w:r w:rsidR="00687172">
              <w:t>500</w:t>
            </w:r>
            <w:r w:rsidR="00BC64F3" w:rsidRPr="00BC64F3">
              <w:t>,000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Other Funds and Status thereof</w:t>
            </w:r>
          </w:p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pct"/>
          </w:tcPr>
          <w:p w:rsidR="00A6395D" w:rsidRPr="00383B29" w:rsidRDefault="006D65F3" w:rsidP="00891D92">
            <w:pPr>
              <w:spacing w:after="0" w:line="240" w:lineRule="auto"/>
              <w:rPr>
                <w:highlight w:val="yellow"/>
              </w:rPr>
            </w:pPr>
            <w:r w:rsidRPr="006D65F3">
              <w:t xml:space="preserve">East Sussex Energy, Infrastructure and Development Ltd (ESEID) </w:t>
            </w:r>
            <w:proofErr w:type="gramStart"/>
            <w:r w:rsidRPr="006D65F3">
              <w:t>has</w:t>
            </w:r>
            <w:proofErr w:type="gramEnd"/>
            <w:r w:rsidRPr="006D65F3">
              <w:t xml:space="preserve"> funds set aside for the project to be used in conjunction with Growing Places Funding.  ESEID (and its predecessor HBRL) has incurred land assembly costs and pre-development activity including design, market research and planning application costs.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r w:rsidRPr="00066E14">
              <w:rPr>
                <w:b/>
                <w:sz w:val="20"/>
                <w:szCs w:val="20"/>
              </w:rPr>
              <w:t>Strategic Fit</w:t>
            </w:r>
          </w:p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pct"/>
          </w:tcPr>
          <w:p w:rsidR="00A6395D" w:rsidRPr="00891D92" w:rsidRDefault="006D65F3" w:rsidP="00891D92">
            <w:pPr>
              <w:spacing w:after="0" w:line="240" w:lineRule="auto"/>
            </w:pPr>
            <w:r w:rsidRPr="006D65F3">
              <w:t xml:space="preserve">Priory Quarter is a core project in delivering the economic vision of coastal East Sussex. It supports local, sub-regional and SELEP priorities namely business growth, private sector job creation and coastal regeneration.  </w:t>
            </w:r>
          </w:p>
        </w:tc>
      </w:tr>
      <w:tr w:rsidR="00A6395D" w:rsidRPr="00C56096" w:rsidTr="009E7C69">
        <w:trPr>
          <w:trHeight w:val="770"/>
        </w:trPr>
        <w:tc>
          <w:tcPr>
            <w:tcW w:w="2589" w:type="pct"/>
          </w:tcPr>
          <w:p w:rsidR="00A6395D" w:rsidRPr="00383B29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970038">
              <w:rPr>
                <w:b/>
                <w:sz w:val="20"/>
                <w:szCs w:val="20"/>
              </w:rPr>
              <w:t>Benefits (jobs/homes/leverage – direct and indirect – see Explanatory Notes)</w:t>
            </w:r>
          </w:p>
        </w:tc>
        <w:tc>
          <w:tcPr>
            <w:tcW w:w="2411" w:type="pct"/>
          </w:tcPr>
          <w:p w:rsidR="006D65F3" w:rsidRDefault="006D65F3" w:rsidP="006D65F3">
            <w:pPr>
              <w:spacing w:after="0" w:line="240" w:lineRule="auto"/>
            </w:pPr>
            <w:r>
              <w:t>Gross indirect jobs: 440</w:t>
            </w:r>
          </w:p>
          <w:p w:rsidR="006D65F3" w:rsidRDefault="006D65F3" w:rsidP="006D65F3">
            <w:pPr>
              <w:spacing w:after="0" w:line="240" w:lineRule="auto"/>
            </w:pPr>
            <w:r>
              <w:t>Net additional indirect jobs: 502</w:t>
            </w:r>
          </w:p>
          <w:p w:rsidR="00A6395D" w:rsidRPr="00383B29" w:rsidRDefault="006D65F3" w:rsidP="006D65F3">
            <w:pPr>
              <w:spacing w:after="0" w:line="240" w:lineRule="auto"/>
              <w:rPr>
                <w:highlight w:val="yellow"/>
              </w:rPr>
            </w:pPr>
            <w:r>
              <w:t>GPF: private sector investment leverage £7m: £7.8m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891D92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066E14">
              <w:rPr>
                <w:b/>
                <w:sz w:val="20"/>
                <w:szCs w:val="20"/>
              </w:rPr>
              <w:t>Additionality</w:t>
            </w:r>
            <w:proofErr w:type="spellEnd"/>
            <w:r w:rsidRPr="00066E14">
              <w:rPr>
                <w:b/>
                <w:sz w:val="20"/>
                <w:szCs w:val="20"/>
              </w:rPr>
              <w:t xml:space="preserve"> – why is GPF required to prevent stalling development </w:t>
            </w:r>
          </w:p>
        </w:tc>
        <w:tc>
          <w:tcPr>
            <w:tcW w:w="2411" w:type="pct"/>
          </w:tcPr>
          <w:p w:rsidR="00A6395D" w:rsidRPr="00066E14" w:rsidRDefault="006D65F3" w:rsidP="007D2D2A">
            <w:pPr>
              <w:spacing w:after="0" w:line="240" w:lineRule="auto"/>
            </w:pPr>
            <w:r w:rsidRPr="006D65F3">
              <w:t xml:space="preserve">No recent history (30 </w:t>
            </w:r>
            <w:proofErr w:type="spellStart"/>
            <w:r w:rsidRPr="006D65F3">
              <w:t>yrs</w:t>
            </w:r>
            <w:proofErr w:type="spellEnd"/>
            <w:r w:rsidRPr="006D65F3">
              <w:t>) of private sector investment in employment infrastructure without public intervention.  Earlier phases of Priory Quarter showed that demand followed supply</w:t>
            </w:r>
            <w:r w:rsidR="007D2D2A">
              <w:t>.</w:t>
            </w:r>
            <w:r w:rsidRPr="006D65F3">
              <w:t xml:space="preserve"> </w:t>
            </w:r>
            <w:r w:rsidR="007D2D2A">
              <w:t>Private development finance in short supply.</w:t>
            </w:r>
          </w:p>
        </w:tc>
      </w:tr>
      <w:tr w:rsidR="00A6395D" w:rsidRPr="00C56096" w:rsidTr="00970038">
        <w:tc>
          <w:tcPr>
            <w:tcW w:w="2589" w:type="pct"/>
            <w:shd w:val="clear" w:color="auto" w:fill="auto"/>
          </w:tcPr>
          <w:p w:rsidR="00A6395D" w:rsidRPr="00383B29" w:rsidRDefault="00A6395D" w:rsidP="00F33B9C">
            <w:pPr>
              <w:spacing w:after="120"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F33B9C">
              <w:rPr>
                <w:b/>
                <w:sz w:val="20"/>
                <w:szCs w:val="20"/>
              </w:rPr>
              <w:t>Value for Money (expressed as cost per job and home and leverage - see explanatory notes)</w:t>
            </w:r>
          </w:p>
        </w:tc>
        <w:tc>
          <w:tcPr>
            <w:tcW w:w="2411" w:type="pct"/>
            <w:shd w:val="clear" w:color="auto" w:fill="auto"/>
          </w:tcPr>
          <w:p w:rsidR="006D65F3" w:rsidRDefault="006D65F3" w:rsidP="006D65F3">
            <w:pPr>
              <w:spacing w:after="0" w:line="240" w:lineRule="auto"/>
            </w:pPr>
            <w:r>
              <w:t>Cost per net additional job:  £13,944</w:t>
            </w:r>
          </w:p>
          <w:p w:rsidR="00A6395D" w:rsidRPr="00383B29" w:rsidRDefault="006D65F3" w:rsidP="006D65F3">
            <w:pPr>
              <w:spacing w:after="0" w:line="240" w:lineRule="auto"/>
              <w:rPr>
                <w:highlight w:val="yellow"/>
              </w:rPr>
            </w:pPr>
            <w:r>
              <w:t>Leverage ratio:  1:1.11</w:t>
            </w:r>
          </w:p>
        </w:tc>
      </w:tr>
      <w:tr w:rsidR="00A6395D" w:rsidRPr="00C56096" w:rsidTr="00A31D58">
        <w:tc>
          <w:tcPr>
            <w:tcW w:w="2589" w:type="pct"/>
          </w:tcPr>
          <w:p w:rsidR="00A6395D" w:rsidRPr="00066E14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066E14">
              <w:rPr>
                <w:b/>
                <w:sz w:val="20"/>
                <w:szCs w:val="20"/>
              </w:rPr>
              <w:t>Dependancies</w:t>
            </w:r>
            <w:proofErr w:type="spellEnd"/>
            <w:r w:rsidRPr="00066E14">
              <w:rPr>
                <w:b/>
                <w:sz w:val="20"/>
                <w:szCs w:val="20"/>
              </w:rPr>
              <w:t xml:space="preserve"> and risk factors</w:t>
            </w:r>
          </w:p>
          <w:p w:rsidR="00A6395D" w:rsidRPr="00383B29" w:rsidRDefault="00A6395D" w:rsidP="00A31D58">
            <w:pPr>
              <w:spacing w:after="120"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1" w:type="pct"/>
          </w:tcPr>
          <w:p w:rsidR="00A6395D" w:rsidRPr="00383B29" w:rsidRDefault="006D65F3" w:rsidP="00A31D58">
            <w:pPr>
              <w:spacing w:after="0" w:line="240" w:lineRule="auto"/>
              <w:rPr>
                <w:highlight w:val="yellow"/>
              </w:rPr>
            </w:pPr>
            <w:r w:rsidRPr="006D65F3">
              <w:t>Dependent on timescale of letting achievement (regarded as low to medium risk in light of recent experience including SAGA inward investment).</w:t>
            </w:r>
          </w:p>
        </w:tc>
      </w:tr>
    </w:tbl>
    <w:p w:rsidR="00A6395D" w:rsidRDefault="00A6395D" w:rsidP="00A6395D">
      <w:pPr>
        <w:rPr>
          <w:b/>
        </w:rPr>
        <w:sectPr w:rsidR="00A6395D" w:rsidSect="00854A31">
          <w:headerReference w:type="default" r:id="rId7"/>
          <w:footerReference w:type="default" r:id="rId8"/>
          <w:pgSz w:w="11907" w:h="16839" w:code="9"/>
          <w:pgMar w:top="1440" w:right="1077" w:bottom="1440" w:left="1077" w:header="709" w:footer="709" w:gutter="0"/>
          <w:cols w:space="708"/>
          <w:docGrid w:linePitch="360"/>
        </w:sectPr>
      </w:pPr>
    </w:p>
    <w:p w:rsidR="00294C28" w:rsidRDefault="00383B29">
      <w:pPr>
        <w:rPr>
          <w:b/>
          <w:sz w:val="28"/>
        </w:rPr>
      </w:pPr>
      <w:r w:rsidRPr="00383B29">
        <w:rPr>
          <w:b/>
          <w:sz w:val="28"/>
        </w:rPr>
        <w:lastRenderedPageBreak/>
        <w:t>Assessor</w:t>
      </w:r>
      <w:r>
        <w:rPr>
          <w:b/>
          <w:sz w:val="28"/>
        </w:rPr>
        <w:t>’</w:t>
      </w:r>
      <w:r w:rsidRPr="00383B29">
        <w:rPr>
          <w:b/>
          <w:sz w:val="28"/>
        </w:rPr>
        <w:t>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709"/>
        <w:gridCol w:w="912"/>
      </w:tblGrid>
      <w:tr w:rsidR="00EA5EE0" w:rsidTr="00EA5EE0">
        <w:trPr>
          <w:trHeight w:val="226"/>
        </w:trPr>
        <w:tc>
          <w:tcPr>
            <w:tcW w:w="4621" w:type="dxa"/>
            <w:vMerge w:val="restart"/>
          </w:tcPr>
          <w:p w:rsidR="00EA5EE0" w:rsidRPr="00383B29" w:rsidRDefault="00EA5EE0">
            <w:r>
              <w:t>Strategic Fit</w:t>
            </w:r>
          </w:p>
        </w:tc>
        <w:tc>
          <w:tcPr>
            <w:tcW w:w="3709" w:type="dxa"/>
          </w:tcPr>
          <w:p w:rsidR="00EA5EE0" w:rsidRDefault="00EA5EE0" w:rsidP="00EA5EE0">
            <w:r>
              <w:t>Good</w:t>
            </w:r>
          </w:p>
        </w:tc>
        <w:tc>
          <w:tcPr>
            <w:tcW w:w="912" w:type="dxa"/>
          </w:tcPr>
          <w:p w:rsidR="00EA5EE0" w:rsidRPr="00383B29" w:rsidRDefault="006B3A72" w:rsidP="00B35212">
            <w:pPr>
              <w:jc w:val="center"/>
            </w:pPr>
            <w:r w:rsidRPr="00B35212">
              <w:rPr>
                <w:b/>
              </w:rPr>
              <w:t>x</w:t>
            </w:r>
          </w:p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/>
        </w:tc>
        <w:tc>
          <w:tcPr>
            <w:tcW w:w="3709" w:type="dxa"/>
          </w:tcPr>
          <w:p w:rsidR="00EA5EE0" w:rsidRDefault="00EA5EE0">
            <w:r>
              <w:t>Medium</w:t>
            </w:r>
          </w:p>
        </w:tc>
        <w:tc>
          <w:tcPr>
            <w:tcW w:w="912" w:type="dxa"/>
          </w:tcPr>
          <w:p w:rsidR="00EA5EE0" w:rsidRPr="00B35212" w:rsidRDefault="00EA5EE0" w:rsidP="00B35212">
            <w:pPr>
              <w:jc w:val="center"/>
              <w:rPr>
                <w:b/>
              </w:rPr>
            </w:pPr>
          </w:p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/>
        </w:tc>
        <w:tc>
          <w:tcPr>
            <w:tcW w:w="3709" w:type="dxa"/>
          </w:tcPr>
          <w:p w:rsidR="00EA5EE0" w:rsidRDefault="00EA5EE0">
            <w:r>
              <w:t>Poor</w:t>
            </w:r>
          </w:p>
        </w:tc>
        <w:tc>
          <w:tcPr>
            <w:tcW w:w="912" w:type="dxa"/>
          </w:tcPr>
          <w:p w:rsidR="00EA5EE0" w:rsidRDefault="00EA5EE0" w:rsidP="00B35212">
            <w:pPr>
              <w:jc w:val="center"/>
            </w:pPr>
          </w:p>
        </w:tc>
      </w:tr>
      <w:tr w:rsidR="00EA5EE0" w:rsidTr="00EA5EE0">
        <w:trPr>
          <w:trHeight w:val="225"/>
        </w:trPr>
        <w:tc>
          <w:tcPr>
            <w:tcW w:w="4621" w:type="dxa"/>
            <w:vMerge w:val="restart"/>
          </w:tcPr>
          <w:p w:rsidR="00EA5EE0" w:rsidRDefault="00EA5EE0">
            <w:r>
              <w:t>Benefits and Value for Money</w:t>
            </w:r>
          </w:p>
        </w:tc>
        <w:tc>
          <w:tcPr>
            <w:tcW w:w="3709" w:type="dxa"/>
          </w:tcPr>
          <w:p w:rsidR="00EA5EE0" w:rsidRDefault="00EA5EE0" w:rsidP="00EA5EE0">
            <w:r>
              <w:t>Good</w:t>
            </w:r>
          </w:p>
        </w:tc>
        <w:tc>
          <w:tcPr>
            <w:tcW w:w="912" w:type="dxa"/>
          </w:tcPr>
          <w:p w:rsidR="00EA5EE0" w:rsidRPr="00B35212" w:rsidRDefault="00EA5EE0" w:rsidP="00B35212">
            <w:pPr>
              <w:jc w:val="center"/>
              <w:rPr>
                <w:b/>
              </w:rPr>
            </w:pPr>
          </w:p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/>
        </w:tc>
        <w:tc>
          <w:tcPr>
            <w:tcW w:w="3709" w:type="dxa"/>
          </w:tcPr>
          <w:p w:rsidR="00EA5EE0" w:rsidRDefault="00EA5EE0" w:rsidP="00EA5EE0">
            <w:r>
              <w:t>Medium</w:t>
            </w:r>
          </w:p>
        </w:tc>
        <w:tc>
          <w:tcPr>
            <w:tcW w:w="912" w:type="dxa"/>
          </w:tcPr>
          <w:p w:rsidR="00EA5EE0" w:rsidRDefault="006B3A72" w:rsidP="00B35212">
            <w:pPr>
              <w:jc w:val="center"/>
            </w:pPr>
            <w:r>
              <w:rPr>
                <w:b/>
              </w:rPr>
              <w:t>x</w:t>
            </w:r>
          </w:p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/>
        </w:tc>
        <w:tc>
          <w:tcPr>
            <w:tcW w:w="3709" w:type="dxa"/>
          </w:tcPr>
          <w:p w:rsidR="00EA5EE0" w:rsidRPr="00383B29" w:rsidRDefault="00EA5EE0" w:rsidP="0074319C">
            <w:r>
              <w:t>Poor</w:t>
            </w:r>
          </w:p>
        </w:tc>
        <w:tc>
          <w:tcPr>
            <w:tcW w:w="912" w:type="dxa"/>
          </w:tcPr>
          <w:p w:rsidR="00EA5EE0" w:rsidRPr="00383B29" w:rsidRDefault="00EA5EE0" w:rsidP="00B35212">
            <w:pPr>
              <w:jc w:val="center"/>
            </w:pPr>
          </w:p>
        </w:tc>
      </w:tr>
      <w:tr w:rsidR="00EA5EE0" w:rsidTr="00EA5EE0">
        <w:trPr>
          <w:trHeight w:val="225"/>
        </w:trPr>
        <w:tc>
          <w:tcPr>
            <w:tcW w:w="4621" w:type="dxa"/>
            <w:vMerge w:val="restart"/>
          </w:tcPr>
          <w:p w:rsidR="00EA5EE0" w:rsidRDefault="00EA5EE0" w:rsidP="00EA5EE0">
            <w:r>
              <w:t xml:space="preserve">Deliverability – </w:t>
            </w:r>
            <w:proofErr w:type="gramStart"/>
            <w:r>
              <w:t>can the timescales can</w:t>
            </w:r>
            <w:proofErr w:type="gramEnd"/>
            <w:r>
              <w:t xml:space="preserve"> be met?</w:t>
            </w:r>
          </w:p>
        </w:tc>
        <w:tc>
          <w:tcPr>
            <w:tcW w:w="3709" w:type="dxa"/>
          </w:tcPr>
          <w:p w:rsidR="00EA5EE0" w:rsidRDefault="00EA5EE0" w:rsidP="0074319C">
            <w:r>
              <w:t>Yes</w:t>
            </w:r>
          </w:p>
        </w:tc>
        <w:tc>
          <w:tcPr>
            <w:tcW w:w="912" w:type="dxa"/>
          </w:tcPr>
          <w:p w:rsidR="00EA5EE0" w:rsidRPr="00B35212" w:rsidRDefault="00B35212" w:rsidP="00B35212">
            <w:pPr>
              <w:jc w:val="center"/>
              <w:rPr>
                <w:b/>
              </w:rPr>
            </w:pPr>
            <w:r w:rsidRPr="00B35212">
              <w:rPr>
                <w:b/>
              </w:rPr>
              <w:t>x</w:t>
            </w:r>
          </w:p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/>
        </w:tc>
        <w:tc>
          <w:tcPr>
            <w:tcW w:w="3709" w:type="dxa"/>
          </w:tcPr>
          <w:p w:rsidR="00EA5EE0" w:rsidRDefault="00EA5EE0" w:rsidP="0074319C">
            <w:r>
              <w:t>No</w:t>
            </w:r>
          </w:p>
        </w:tc>
        <w:tc>
          <w:tcPr>
            <w:tcW w:w="912" w:type="dxa"/>
          </w:tcPr>
          <w:p w:rsidR="00EA5EE0" w:rsidRPr="00383B29" w:rsidRDefault="00EA5EE0" w:rsidP="00B35212">
            <w:pPr>
              <w:jc w:val="center"/>
            </w:pPr>
          </w:p>
        </w:tc>
      </w:tr>
      <w:tr w:rsidR="00EA5EE0" w:rsidTr="00383B29">
        <w:tc>
          <w:tcPr>
            <w:tcW w:w="4621" w:type="dxa"/>
            <w:vMerge/>
          </w:tcPr>
          <w:p w:rsidR="00EA5EE0" w:rsidRPr="00383B29" w:rsidRDefault="00EA5EE0"/>
        </w:tc>
        <w:tc>
          <w:tcPr>
            <w:tcW w:w="4621" w:type="dxa"/>
            <w:gridSpan w:val="2"/>
          </w:tcPr>
          <w:p w:rsidR="00EA5EE0" w:rsidRDefault="00EA5EE0" w:rsidP="00BA7704">
            <w:r>
              <w:t>Comments</w:t>
            </w:r>
          </w:p>
          <w:p w:rsidR="00EA5EE0" w:rsidRPr="00383B29" w:rsidRDefault="0091490A" w:rsidP="00917DD4">
            <w:r>
              <w:t>Planning permission was granted for the scheme by Hastings Borough Council in July 2011. All land is in the control of the project promoter</w:t>
            </w:r>
          </w:p>
        </w:tc>
      </w:tr>
      <w:tr w:rsidR="00EA5EE0" w:rsidTr="00383B29">
        <w:tc>
          <w:tcPr>
            <w:tcW w:w="4621" w:type="dxa"/>
          </w:tcPr>
          <w:p w:rsidR="00EA5EE0" w:rsidRDefault="00EA5EE0" w:rsidP="00EA5EE0">
            <w:r>
              <w:t>What sources of income will be used by the Borrower to repay GPF</w:t>
            </w:r>
          </w:p>
        </w:tc>
        <w:tc>
          <w:tcPr>
            <w:tcW w:w="4621" w:type="dxa"/>
            <w:gridSpan w:val="2"/>
          </w:tcPr>
          <w:p w:rsidR="00EA5EE0" w:rsidRDefault="006D65F3" w:rsidP="009E7C69">
            <w:r w:rsidRPr="006D65F3">
              <w:t>The GPF funding will be repaid from rental income and a sale receipt secured by the disposal of the completed development at the date of the first rent review 2019 (i.e. Five years after letting). Should a sale not be forthcoming at this date then the GPF funding will be repaid from the rental income from Phases 3 and Phase 4 and/or refinancing the development.</w:t>
            </w:r>
          </w:p>
        </w:tc>
      </w:tr>
      <w:tr w:rsidR="00EA5EE0" w:rsidTr="00EA5EE0">
        <w:trPr>
          <w:trHeight w:val="227"/>
        </w:trPr>
        <w:tc>
          <w:tcPr>
            <w:tcW w:w="4621" w:type="dxa"/>
            <w:vMerge w:val="restart"/>
          </w:tcPr>
          <w:p w:rsidR="00EA5EE0" w:rsidRPr="00383B29" w:rsidRDefault="00EA5EE0" w:rsidP="00383B29">
            <w:r>
              <w:t>Will</w:t>
            </w:r>
            <w:r w:rsidRPr="00383B29">
              <w:t xml:space="preserve"> the Borrower contract to repay GPF in accordance with the Repayment Profile</w:t>
            </w:r>
            <w:r>
              <w:t>?</w:t>
            </w:r>
          </w:p>
        </w:tc>
        <w:tc>
          <w:tcPr>
            <w:tcW w:w="3709" w:type="dxa"/>
          </w:tcPr>
          <w:p w:rsidR="00EA5EE0" w:rsidRDefault="00EA5EE0" w:rsidP="00EA5EE0">
            <w:r>
              <w:t>Yes</w:t>
            </w:r>
          </w:p>
        </w:tc>
        <w:tc>
          <w:tcPr>
            <w:tcW w:w="912" w:type="dxa"/>
          </w:tcPr>
          <w:p w:rsidR="00EA5EE0" w:rsidRDefault="00EA5EE0"/>
          <w:p w:rsidR="00EA5EE0" w:rsidRPr="00383B29" w:rsidRDefault="006B3A72" w:rsidP="005D5D43">
            <w:pPr>
              <w:jc w:val="center"/>
            </w:pPr>
            <w:r w:rsidRPr="005D5D43">
              <w:rPr>
                <w:b/>
              </w:rPr>
              <w:t>x</w:t>
            </w:r>
          </w:p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 w:rsidP="00383B29"/>
        </w:tc>
        <w:tc>
          <w:tcPr>
            <w:tcW w:w="3709" w:type="dxa"/>
          </w:tcPr>
          <w:p w:rsidR="00EA5EE0" w:rsidRDefault="00EA5EE0">
            <w:r>
              <w:t>No</w:t>
            </w:r>
          </w:p>
        </w:tc>
        <w:tc>
          <w:tcPr>
            <w:tcW w:w="912" w:type="dxa"/>
          </w:tcPr>
          <w:p w:rsidR="00EA5EE0" w:rsidRDefault="00EA5EE0"/>
        </w:tc>
      </w:tr>
      <w:tr w:rsidR="00EA5EE0" w:rsidTr="00EA5EE0">
        <w:trPr>
          <w:trHeight w:val="225"/>
        </w:trPr>
        <w:tc>
          <w:tcPr>
            <w:tcW w:w="4621" w:type="dxa"/>
            <w:vMerge/>
          </w:tcPr>
          <w:p w:rsidR="00EA5EE0" w:rsidRDefault="00EA5EE0" w:rsidP="00383B29"/>
        </w:tc>
        <w:tc>
          <w:tcPr>
            <w:tcW w:w="3709" w:type="dxa"/>
          </w:tcPr>
          <w:p w:rsidR="00EA5EE0" w:rsidRDefault="00EA5EE0">
            <w:r>
              <w:t>Unclear</w:t>
            </w:r>
          </w:p>
        </w:tc>
        <w:tc>
          <w:tcPr>
            <w:tcW w:w="912" w:type="dxa"/>
          </w:tcPr>
          <w:p w:rsidR="00EA5EE0" w:rsidRDefault="00EA5EE0"/>
        </w:tc>
      </w:tr>
      <w:tr w:rsidR="00EA5EE0" w:rsidTr="004364E2">
        <w:trPr>
          <w:trHeight w:val="225"/>
        </w:trPr>
        <w:tc>
          <w:tcPr>
            <w:tcW w:w="4621" w:type="dxa"/>
            <w:vMerge/>
          </w:tcPr>
          <w:p w:rsidR="00EA5EE0" w:rsidRDefault="00EA5EE0" w:rsidP="00383B29"/>
        </w:tc>
        <w:tc>
          <w:tcPr>
            <w:tcW w:w="4621" w:type="dxa"/>
            <w:gridSpan w:val="2"/>
          </w:tcPr>
          <w:p w:rsidR="00EA5EE0" w:rsidRDefault="00EA5EE0">
            <w:r>
              <w:t>Comments</w:t>
            </w:r>
          </w:p>
          <w:p w:rsidR="0091490A" w:rsidRPr="0042118C" w:rsidRDefault="0091490A" w:rsidP="0091490A">
            <w:r>
              <w:t>ESCC has acknowledged</w:t>
            </w:r>
            <w:r w:rsidRPr="0042118C">
              <w:t xml:space="preserve"> that</w:t>
            </w:r>
            <w:r>
              <w:t xml:space="preserve"> there</w:t>
            </w:r>
            <w:r w:rsidRPr="0042118C">
              <w:t xml:space="preserve"> will be a contractual obligation to repay the loan,</w:t>
            </w:r>
          </w:p>
          <w:p w:rsidR="00EA5EE0" w:rsidRDefault="0091490A" w:rsidP="006D65F3">
            <w:proofErr w:type="gramStart"/>
            <w:r w:rsidRPr="0042118C">
              <w:t>according</w:t>
            </w:r>
            <w:proofErr w:type="gramEnd"/>
            <w:r w:rsidRPr="0042118C">
              <w:t xml:space="preserve"> to the repayment profile included in the bid.</w:t>
            </w:r>
          </w:p>
        </w:tc>
      </w:tr>
      <w:tr w:rsidR="00EA5EE0" w:rsidTr="00383B29">
        <w:tc>
          <w:tcPr>
            <w:tcW w:w="4621" w:type="dxa"/>
          </w:tcPr>
          <w:p w:rsidR="00EA5EE0" w:rsidRDefault="00EA5EE0">
            <w:r>
              <w:t>Other Comments</w:t>
            </w:r>
          </w:p>
          <w:p w:rsidR="00EA5EE0" w:rsidRDefault="00EA5EE0"/>
          <w:p w:rsidR="00EA5EE0" w:rsidRDefault="00EA5EE0"/>
        </w:tc>
        <w:tc>
          <w:tcPr>
            <w:tcW w:w="4621" w:type="dxa"/>
            <w:gridSpan w:val="2"/>
          </w:tcPr>
          <w:p w:rsidR="00EA5EE0" w:rsidRDefault="006B3A72" w:rsidP="00917DD4">
            <w:r>
              <w:t xml:space="preserve">Good </w:t>
            </w:r>
            <w:r w:rsidR="00891D92">
              <w:t>strategic fit</w:t>
            </w:r>
            <w:r w:rsidR="006D65F3">
              <w:t xml:space="preserve">. Focus on job creation and business space. </w:t>
            </w:r>
            <w:r w:rsidR="00917DD4">
              <w:t xml:space="preserve">Capital intensive with economic outputs </w:t>
            </w:r>
            <w:proofErr w:type="spellStart"/>
            <w:r w:rsidR="00917DD4">
              <w:t>dependant</w:t>
            </w:r>
            <w:proofErr w:type="spellEnd"/>
            <w:r w:rsidR="00917DD4">
              <w:t xml:space="preserve"> upon sales/lettings in an area of traditionally weak demand</w:t>
            </w:r>
          </w:p>
        </w:tc>
      </w:tr>
      <w:tr w:rsidR="00B35212" w:rsidTr="00B35212">
        <w:trPr>
          <w:trHeight w:val="226"/>
        </w:trPr>
        <w:tc>
          <w:tcPr>
            <w:tcW w:w="4621" w:type="dxa"/>
            <w:vMerge w:val="restart"/>
          </w:tcPr>
          <w:p w:rsidR="00B35212" w:rsidRPr="00383B29" w:rsidRDefault="00B35212" w:rsidP="00974944">
            <w:r>
              <w:t>Recommendation</w:t>
            </w:r>
          </w:p>
        </w:tc>
        <w:tc>
          <w:tcPr>
            <w:tcW w:w="3709" w:type="dxa"/>
          </w:tcPr>
          <w:p w:rsidR="00B35212" w:rsidRDefault="00B35212" w:rsidP="00974944">
            <w:r>
              <w:t>Proceed to due diligence</w:t>
            </w:r>
          </w:p>
        </w:tc>
        <w:tc>
          <w:tcPr>
            <w:tcW w:w="912" w:type="dxa"/>
          </w:tcPr>
          <w:p w:rsidR="00B35212" w:rsidRPr="00383B29" w:rsidRDefault="005D5D43" w:rsidP="005D5D43">
            <w:pPr>
              <w:jc w:val="center"/>
            </w:pPr>
            <w:r w:rsidRPr="005D5D43">
              <w:rPr>
                <w:b/>
              </w:rPr>
              <w:t>x</w:t>
            </w:r>
          </w:p>
        </w:tc>
      </w:tr>
      <w:tr w:rsidR="00B35212" w:rsidTr="00B35212">
        <w:trPr>
          <w:trHeight w:val="225"/>
        </w:trPr>
        <w:tc>
          <w:tcPr>
            <w:tcW w:w="4621" w:type="dxa"/>
            <w:vMerge/>
          </w:tcPr>
          <w:p w:rsidR="00B35212" w:rsidRDefault="00B35212" w:rsidP="00974944"/>
        </w:tc>
        <w:tc>
          <w:tcPr>
            <w:tcW w:w="3709" w:type="dxa"/>
          </w:tcPr>
          <w:p w:rsidR="00B35212" w:rsidRDefault="00B35212" w:rsidP="00974944">
            <w:r>
              <w:t>Refer back to applicant</w:t>
            </w:r>
          </w:p>
        </w:tc>
        <w:tc>
          <w:tcPr>
            <w:tcW w:w="912" w:type="dxa"/>
          </w:tcPr>
          <w:p w:rsidR="00B35212" w:rsidRDefault="00B35212" w:rsidP="00974944"/>
        </w:tc>
      </w:tr>
    </w:tbl>
    <w:p w:rsidR="00383B29" w:rsidRPr="00383B29" w:rsidRDefault="00383B29">
      <w:pPr>
        <w:rPr>
          <w:b/>
          <w:sz w:val="28"/>
        </w:rPr>
      </w:pPr>
      <w:bookmarkStart w:id="0" w:name="_GoBack"/>
      <w:bookmarkEnd w:id="0"/>
    </w:p>
    <w:sectPr w:rsidR="00383B29" w:rsidRPr="00383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F8" w:rsidRDefault="00FB0DF8">
      <w:pPr>
        <w:spacing w:after="0" w:line="240" w:lineRule="auto"/>
      </w:pPr>
      <w:r>
        <w:separator/>
      </w:r>
    </w:p>
  </w:endnote>
  <w:endnote w:type="continuationSeparator" w:id="0">
    <w:p w:rsidR="00FB0DF8" w:rsidRDefault="00FB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99" w:rsidRDefault="00B352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D43">
      <w:rPr>
        <w:noProof/>
      </w:rPr>
      <w:t>2</w:t>
    </w:r>
    <w:r>
      <w:rPr>
        <w:noProof/>
      </w:rPr>
      <w:fldChar w:fldCharType="end"/>
    </w:r>
  </w:p>
  <w:p w:rsidR="00F66199" w:rsidRDefault="00FB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F8" w:rsidRDefault="00FB0DF8">
      <w:pPr>
        <w:spacing w:after="0" w:line="240" w:lineRule="auto"/>
      </w:pPr>
      <w:r>
        <w:separator/>
      </w:r>
    </w:p>
  </w:footnote>
  <w:footnote w:type="continuationSeparator" w:id="0">
    <w:p w:rsidR="00FB0DF8" w:rsidRDefault="00FB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99" w:rsidRPr="00066BEF" w:rsidRDefault="00B35212" w:rsidP="00066BEF">
    <w:pPr>
      <w:pStyle w:val="Header"/>
      <w:jc w:val="right"/>
      <w:rPr>
        <w:b/>
        <w:i/>
        <w:sz w:val="18"/>
        <w:szCs w:val="18"/>
      </w:rPr>
    </w:pPr>
    <w:r w:rsidRPr="00066BEF">
      <w:rPr>
        <w:b/>
        <w:i/>
        <w:sz w:val="18"/>
        <w:szCs w:val="18"/>
      </w:rPr>
      <w:t>The South East Growing Places Fund</w:t>
    </w:r>
  </w:p>
  <w:p w:rsidR="00F66199" w:rsidRPr="00066BEF" w:rsidRDefault="00B35212" w:rsidP="00066BEF">
    <w:pPr>
      <w:pStyle w:val="Header"/>
      <w:jc w:val="right"/>
      <w:rPr>
        <w:b/>
        <w:i/>
        <w:sz w:val="18"/>
        <w:szCs w:val="18"/>
      </w:rPr>
    </w:pPr>
    <w:r w:rsidRPr="00066BEF">
      <w:rPr>
        <w:b/>
        <w:i/>
        <w:sz w:val="18"/>
        <w:szCs w:val="18"/>
      </w:rPr>
      <w:t>Project Pack</w:t>
    </w:r>
  </w:p>
  <w:p w:rsidR="00F66199" w:rsidRDefault="00FB0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5D"/>
    <w:rsid w:val="00066E14"/>
    <w:rsid w:val="0013710F"/>
    <w:rsid w:val="001403A6"/>
    <w:rsid w:val="00294C28"/>
    <w:rsid w:val="0029762C"/>
    <w:rsid w:val="003043D3"/>
    <w:rsid w:val="00326E3A"/>
    <w:rsid w:val="00383B29"/>
    <w:rsid w:val="003F56FB"/>
    <w:rsid w:val="0046345E"/>
    <w:rsid w:val="005D5D43"/>
    <w:rsid w:val="005E789E"/>
    <w:rsid w:val="00687172"/>
    <w:rsid w:val="006B3A72"/>
    <w:rsid w:val="006D65F3"/>
    <w:rsid w:val="007D2D2A"/>
    <w:rsid w:val="00891D92"/>
    <w:rsid w:val="008F6CE6"/>
    <w:rsid w:val="0091490A"/>
    <w:rsid w:val="00917DD4"/>
    <w:rsid w:val="00952CBD"/>
    <w:rsid w:val="00970038"/>
    <w:rsid w:val="009E7C69"/>
    <w:rsid w:val="00A6395D"/>
    <w:rsid w:val="00A84C6C"/>
    <w:rsid w:val="00B35212"/>
    <w:rsid w:val="00B96486"/>
    <w:rsid w:val="00BA7704"/>
    <w:rsid w:val="00BC64F3"/>
    <w:rsid w:val="00C20385"/>
    <w:rsid w:val="00D24F29"/>
    <w:rsid w:val="00E866BC"/>
    <w:rsid w:val="00EA5EE0"/>
    <w:rsid w:val="00F33B9C"/>
    <w:rsid w:val="00F614E1"/>
    <w:rsid w:val="00F851BE"/>
    <w:rsid w:val="00FA02BE"/>
    <w:rsid w:val="00F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A63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5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3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A63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5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7" ma:contentTypeDescription="Create a new document." ma:contentTypeScope="" ma:versionID="32e37ad1b19a5888815b52a0590c7174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c35459c1131f541c0983a1fce63f5b25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b80e1b9-110b-426d-a27a-2c1e575db7cd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46604-00F7-49A5-9757-ABD8570487C6}"/>
</file>

<file path=customXml/itemProps2.xml><?xml version="1.0" encoding="utf-8"?>
<ds:datastoreItem xmlns:ds="http://schemas.openxmlformats.org/officeDocument/2006/customXml" ds:itemID="{01B9A7F6-E41E-4647-B322-20FB71441FEB}"/>
</file>

<file path=customXml/itemProps3.xml><?xml version="1.0" encoding="utf-8"?>
<ds:datastoreItem xmlns:ds="http://schemas.openxmlformats.org/officeDocument/2006/customXml" ds:itemID="{B28D7DCF-4C2D-405D-8E9C-C8E139A85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VirtualIT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Pritchard</dc:creator>
  <cp:lastModifiedBy>Stephen Pritchard</cp:lastModifiedBy>
  <cp:revision>2</cp:revision>
  <dcterms:created xsi:type="dcterms:W3CDTF">2012-03-19T13:03:00Z</dcterms:created>
  <dcterms:modified xsi:type="dcterms:W3CDTF">2012-03-19T13:03:00Z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</Properties>
</file>