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5AB" w:rsidRDefault="004D0481">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Header reports.jpg" style="position:absolute;left:0;text-align:left;margin-left:-1.4pt;margin-top:-48.95pt;width:470.25pt;height:35.7pt;z-index:251622912;visibility:visible">
            <v:imagedata r:id="rId8" o:title=""/>
          </v:shape>
        </w:pict>
      </w:r>
    </w:p>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Pr>
        <w:rPr>
          <w:sz w:val="24"/>
          <w:szCs w:val="24"/>
        </w:rPr>
      </w:pPr>
    </w:p>
    <w:p w:rsidR="00FE25AB" w:rsidRDefault="00FE25AB">
      <w:pPr>
        <w:rPr>
          <w:b/>
          <w:bCs/>
          <w:sz w:val="52"/>
          <w:szCs w:val="52"/>
        </w:rPr>
      </w:pPr>
      <w:r>
        <w:rPr>
          <w:b/>
          <w:bCs/>
          <w:sz w:val="52"/>
          <w:szCs w:val="52"/>
        </w:rPr>
        <w:t>Medway Council</w:t>
      </w:r>
    </w:p>
    <w:p w:rsidR="00FE25AB" w:rsidRDefault="00FE25AB">
      <w:pPr>
        <w:rPr>
          <w:sz w:val="24"/>
          <w:szCs w:val="24"/>
        </w:rPr>
      </w:pPr>
    </w:p>
    <w:p w:rsidR="00FE25AB" w:rsidRDefault="00FE25AB">
      <w:pPr>
        <w:rPr>
          <w:sz w:val="24"/>
          <w:szCs w:val="24"/>
        </w:rPr>
      </w:pPr>
      <w:r>
        <w:rPr>
          <w:sz w:val="24"/>
          <w:szCs w:val="24"/>
        </w:rPr>
        <w:t>Business case for:</w:t>
      </w:r>
    </w:p>
    <w:p w:rsidR="00FE25AB" w:rsidRDefault="00FE25AB">
      <w:pPr>
        <w:rPr>
          <w:sz w:val="24"/>
          <w:szCs w:val="24"/>
        </w:rPr>
      </w:pPr>
    </w:p>
    <w:p w:rsidR="00FE25AB" w:rsidRDefault="00FE25AB">
      <w:pPr>
        <w:rPr>
          <w:b/>
          <w:bCs/>
          <w:sz w:val="32"/>
          <w:szCs w:val="32"/>
        </w:rPr>
      </w:pPr>
      <w:proofErr w:type="spellStart"/>
      <w:r>
        <w:rPr>
          <w:b/>
          <w:bCs/>
          <w:sz w:val="32"/>
          <w:szCs w:val="32"/>
        </w:rPr>
        <w:t>Strood</w:t>
      </w:r>
      <w:proofErr w:type="spellEnd"/>
      <w:r>
        <w:rPr>
          <w:b/>
          <w:bCs/>
          <w:sz w:val="32"/>
          <w:szCs w:val="32"/>
        </w:rPr>
        <w:t xml:space="preserve"> Town Centre Local Growth Fund:</w:t>
      </w:r>
    </w:p>
    <w:p w:rsidR="00FE25AB" w:rsidRDefault="00FE25AB">
      <w:pPr>
        <w:rPr>
          <w:sz w:val="28"/>
          <w:szCs w:val="28"/>
        </w:rPr>
      </w:pPr>
      <w:r>
        <w:rPr>
          <w:sz w:val="28"/>
          <w:szCs w:val="28"/>
        </w:rPr>
        <w:t xml:space="preserve">Journey time, accessibility, public realm and retail centre improvements to facilitate regeneration and growth - </w:t>
      </w:r>
    </w:p>
    <w:p w:rsidR="00FE25AB" w:rsidRDefault="00FE25AB">
      <w:pPr>
        <w:rPr>
          <w:sz w:val="28"/>
          <w:szCs w:val="28"/>
        </w:rPr>
      </w:pPr>
    </w:p>
    <w:p w:rsidR="00FE25AB" w:rsidRDefault="00FE25AB">
      <w:pPr>
        <w:rPr>
          <w:sz w:val="28"/>
          <w:szCs w:val="28"/>
        </w:rPr>
      </w:pPr>
      <w:r>
        <w:rPr>
          <w:i/>
          <w:iCs/>
          <w:sz w:val="28"/>
          <w:szCs w:val="28"/>
        </w:rPr>
        <w:t>for submission to</w:t>
      </w:r>
      <w:r>
        <w:rPr>
          <w:sz w:val="28"/>
          <w:szCs w:val="28"/>
        </w:rPr>
        <w:t xml:space="preserve"> Department for Transport</w:t>
      </w:r>
    </w:p>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4D0481">
      <w:pPr>
        <w:rPr>
          <w:b/>
          <w:bCs/>
        </w:rPr>
      </w:pPr>
      <w:r>
        <w:rPr>
          <w:b/>
          <w:bCs/>
        </w:rPr>
        <w:t>Version 2a</w:t>
      </w:r>
      <w:bookmarkStart w:id="0" w:name="_GoBack"/>
      <w:bookmarkEnd w:id="0"/>
      <w:r>
        <w:rPr>
          <w:b/>
          <w:bCs/>
        </w:rPr>
        <w:t xml:space="preserve"> – 24</w:t>
      </w:r>
      <w:r w:rsidR="00FE25AB">
        <w:rPr>
          <w:b/>
          <w:bCs/>
          <w:vertAlign w:val="superscript"/>
        </w:rPr>
        <w:t>th</w:t>
      </w:r>
      <w:r w:rsidR="00FE25AB">
        <w:rPr>
          <w:b/>
          <w:bCs/>
        </w:rPr>
        <w:t xml:space="preserve"> February 15</w:t>
      </w:r>
    </w:p>
    <w:p w:rsidR="00FE25AB" w:rsidRDefault="00FE25AB"/>
    <w:p w:rsidR="00FE25AB" w:rsidRDefault="004D0481">
      <w:pPr>
        <w:pBdr>
          <w:top w:val="single" w:sz="4" w:space="1" w:color="auto"/>
          <w:left w:val="single" w:sz="4" w:space="4" w:color="auto"/>
          <w:bottom w:val="single" w:sz="4" w:space="1" w:color="auto"/>
          <w:right w:val="single" w:sz="4" w:space="4" w:color="auto"/>
        </w:pBdr>
        <w:rPr>
          <w:b/>
          <w:bCs/>
        </w:rPr>
      </w:pPr>
      <w:r>
        <w:rPr>
          <w:noProof/>
          <w:lang w:eastAsia="en-GB"/>
        </w:rPr>
        <w:pict>
          <v:shape id="Picture 4" o:spid="_x0000_s1027" type="#_x0000_t75" alt="http://ts2.mm.bing.net/th?id=HN.608047612924725639&amp;w=130&amp;h=135&amp;c=7&amp;rs=1&amp;pid=1.7" href="http://www.bing.com/images/search?q=medway+council+logo&amp;id=4F367CF591BA0D891293DFC462E3D6B9A293D19C&amp;FORM=IQFRB#view=detail&amp;id=4F367CF591BA0D891293DFC462E3D6B9A293D19C&amp;selectedIndex=" style="position:absolute;left:0;text-align:left;margin-left:349.35pt;margin-top:3.75pt;width:110.25pt;height:53.3pt;z-index:251621888;visibility:visible" o:button="t">
            <v:fill o:detectmouseclick="t"/>
            <v:imagedata r:id="rId9" o:title="th?id=HN" croptop="15862f" cropbottom="14155f"/>
          </v:shape>
        </w:pict>
      </w:r>
      <w:r w:rsidR="00FE25AB">
        <w:rPr>
          <w:b/>
          <w:bCs/>
        </w:rPr>
        <w:t xml:space="preserve">LOCATION OF PROJECT: </w:t>
      </w:r>
      <w:proofErr w:type="spellStart"/>
      <w:r w:rsidR="00FE25AB">
        <w:rPr>
          <w:b/>
          <w:bCs/>
        </w:rPr>
        <w:t>Strood</w:t>
      </w:r>
      <w:proofErr w:type="spellEnd"/>
      <w:r w:rsidR="00FE25AB">
        <w:rPr>
          <w:b/>
          <w:bCs/>
        </w:rPr>
        <w:t xml:space="preserve"> town centre</w:t>
      </w:r>
    </w:p>
    <w:p w:rsidR="00FE25AB" w:rsidRDefault="00FE25AB">
      <w:pPr>
        <w:pBdr>
          <w:top w:val="single" w:sz="4" w:space="1" w:color="auto"/>
          <w:left w:val="single" w:sz="4" w:space="4" w:color="auto"/>
          <w:bottom w:val="single" w:sz="4" w:space="1" w:color="auto"/>
          <w:right w:val="single" w:sz="4" w:space="4" w:color="auto"/>
        </w:pBdr>
      </w:pPr>
      <w:r>
        <w:rPr>
          <w:b/>
          <w:bCs/>
        </w:rPr>
        <w:t>PROJECT SPONSOR (local authority): Medway Council</w:t>
      </w:r>
    </w:p>
    <w:p w:rsidR="00FE25AB" w:rsidRDefault="00FE25AB">
      <w:pPr>
        <w:pBdr>
          <w:top w:val="single" w:sz="4" w:space="1" w:color="auto"/>
          <w:left w:val="single" w:sz="4" w:space="4" w:color="auto"/>
          <w:bottom w:val="single" w:sz="4" w:space="1" w:color="auto"/>
          <w:right w:val="single" w:sz="4" w:space="4" w:color="auto"/>
        </w:pBdr>
      </w:pPr>
      <w:r>
        <w:rPr>
          <w:b/>
          <w:bCs/>
        </w:rPr>
        <w:t>PROJECT MANAGER (lead officer):</w:t>
      </w:r>
      <w:r>
        <w:t xml:space="preserve">  Steve Hewlett</w:t>
      </w:r>
    </w:p>
    <w:p w:rsidR="00FE25AB" w:rsidRDefault="00FE25AB">
      <w:pPr>
        <w:pBdr>
          <w:top w:val="single" w:sz="4" w:space="1" w:color="auto"/>
          <w:left w:val="single" w:sz="4" w:space="4" w:color="auto"/>
          <w:bottom w:val="single" w:sz="4" w:space="1" w:color="auto"/>
          <w:right w:val="single" w:sz="4" w:space="4" w:color="auto"/>
        </w:pBdr>
      </w:pPr>
      <w:r>
        <w:t>Contact phone number: 01634 331103</w:t>
      </w:r>
    </w:p>
    <w:p w:rsidR="00FE25AB" w:rsidRDefault="00FE25AB">
      <w:pPr>
        <w:pBdr>
          <w:top w:val="single" w:sz="4" w:space="1" w:color="auto"/>
          <w:left w:val="single" w:sz="4" w:space="4" w:color="auto"/>
          <w:bottom w:val="single" w:sz="4" w:space="1" w:color="auto"/>
          <w:right w:val="single" w:sz="4" w:space="4" w:color="auto"/>
        </w:pBdr>
      </w:pPr>
      <w:r>
        <w:t>Contact e-mail: steve.hewlett@medway.gov.uk</w:t>
      </w:r>
    </w:p>
    <w:p w:rsidR="00FE25AB" w:rsidRDefault="00FE25AB">
      <w:r>
        <w:br w:type="page"/>
      </w:r>
    </w:p>
    <w:p w:rsidR="00FE25AB" w:rsidRDefault="00FE25AB">
      <w:pPr>
        <w:pStyle w:val="SectionHeading"/>
        <w:rPr>
          <w:sz w:val="22"/>
          <w:szCs w:val="22"/>
        </w:rPr>
      </w:pPr>
      <w:r>
        <w:rPr>
          <w:sz w:val="22"/>
          <w:szCs w:val="22"/>
        </w:rPr>
        <w:t>Contents</w:t>
      </w:r>
    </w:p>
    <w:p w:rsidR="00FE25AB" w:rsidRDefault="00FE25AB"/>
    <w:p w:rsidR="00FE25AB" w:rsidRDefault="00FE25AB">
      <w:pPr>
        <w:pStyle w:val="SectionHeading"/>
        <w:ind w:left="720"/>
        <w:rPr>
          <w:sz w:val="20"/>
          <w:szCs w:val="20"/>
        </w:rPr>
      </w:pPr>
      <w:r>
        <w:rPr>
          <w:sz w:val="20"/>
          <w:szCs w:val="20"/>
        </w:rPr>
        <w:t>Executive Summary</w:t>
      </w:r>
    </w:p>
    <w:p w:rsidR="00FE25AB" w:rsidRDefault="00FE25AB">
      <w:pPr>
        <w:pStyle w:val="SectionHeading"/>
        <w:rPr>
          <w:sz w:val="20"/>
          <w:szCs w:val="20"/>
        </w:rPr>
      </w:pPr>
    </w:p>
    <w:p w:rsidR="00FE25AB" w:rsidRDefault="00FE25AB">
      <w:pPr>
        <w:pStyle w:val="SectionHeading"/>
        <w:rPr>
          <w:sz w:val="20"/>
          <w:szCs w:val="20"/>
        </w:rPr>
      </w:pPr>
      <w:r>
        <w:rPr>
          <w:sz w:val="20"/>
          <w:szCs w:val="20"/>
        </w:rPr>
        <w:t>1.0</w:t>
      </w:r>
      <w:r>
        <w:rPr>
          <w:sz w:val="20"/>
          <w:szCs w:val="20"/>
        </w:rPr>
        <w:tab/>
        <w:t>Introduction</w:t>
      </w:r>
    </w:p>
    <w:p w:rsidR="00FE25AB" w:rsidRDefault="00FE25AB">
      <w:pPr>
        <w:pStyle w:val="Subsection"/>
        <w:ind w:left="720"/>
        <w:rPr>
          <w:b w:val="0"/>
          <w:bCs w:val="0"/>
          <w:sz w:val="20"/>
          <w:szCs w:val="20"/>
        </w:rPr>
      </w:pPr>
      <w:r>
        <w:rPr>
          <w:b w:val="0"/>
          <w:bCs w:val="0"/>
          <w:sz w:val="20"/>
          <w:szCs w:val="20"/>
        </w:rPr>
        <w:t>1.1</w:t>
      </w:r>
      <w:r>
        <w:rPr>
          <w:b w:val="0"/>
          <w:bCs w:val="0"/>
          <w:sz w:val="20"/>
          <w:szCs w:val="20"/>
        </w:rPr>
        <w:tab/>
        <w:t>Purpose of Report</w:t>
      </w:r>
    </w:p>
    <w:p w:rsidR="00FE25AB" w:rsidRDefault="00FE25AB">
      <w:pPr>
        <w:pStyle w:val="Subsection"/>
        <w:ind w:left="720"/>
        <w:rPr>
          <w:b w:val="0"/>
          <w:bCs w:val="0"/>
          <w:sz w:val="20"/>
          <w:szCs w:val="20"/>
        </w:rPr>
      </w:pPr>
      <w:r>
        <w:rPr>
          <w:b w:val="0"/>
          <w:bCs w:val="0"/>
          <w:sz w:val="20"/>
          <w:szCs w:val="20"/>
        </w:rPr>
        <w:t>1.2</w:t>
      </w:r>
      <w:r>
        <w:rPr>
          <w:b w:val="0"/>
          <w:bCs w:val="0"/>
          <w:sz w:val="20"/>
          <w:szCs w:val="20"/>
        </w:rPr>
        <w:tab/>
        <w:t>Background of proposals</w:t>
      </w:r>
    </w:p>
    <w:p w:rsidR="00FE25AB" w:rsidRDefault="00FE25AB">
      <w:pPr>
        <w:pStyle w:val="Subsection"/>
        <w:ind w:left="720"/>
        <w:rPr>
          <w:b w:val="0"/>
          <w:bCs w:val="0"/>
          <w:sz w:val="20"/>
          <w:szCs w:val="20"/>
        </w:rPr>
      </w:pPr>
      <w:r>
        <w:rPr>
          <w:b w:val="0"/>
          <w:bCs w:val="0"/>
          <w:sz w:val="20"/>
          <w:szCs w:val="20"/>
        </w:rPr>
        <w:t>1.3</w:t>
      </w:r>
      <w:r>
        <w:rPr>
          <w:b w:val="0"/>
          <w:bCs w:val="0"/>
          <w:sz w:val="20"/>
          <w:szCs w:val="20"/>
        </w:rPr>
        <w:tab/>
        <w:t>Local context</w:t>
      </w:r>
    </w:p>
    <w:p w:rsidR="00FE25AB" w:rsidRDefault="00FE25AB">
      <w:pPr>
        <w:pStyle w:val="Subsection"/>
        <w:ind w:left="720"/>
        <w:rPr>
          <w:b w:val="0"/>
          <w:bCs w:val="0"/>
          <w:sz w:val="20"/>
          <w:szCs w:val="20"/>
        </w:rPr>
      </w:pPr>
      <w:r>
        <w:rPr>
          <w:b w:val="0"/>
          <w:bCs w:val="0"/>
          <w:sz w:val="20"/>
          <w:szCs w:val="20"/>
        </w:rPr>
        <w:t>1.4</w:t>
      </w:r>
      <w:r>
        <w:rPr>
          <w:b w:val="0"/>
          <w:bCs w:val="0"/>
          <w:sz w:val="20"/>
          <w:szCs w:val="20"/>
        </w:rPr>
        <w:tab/>
        <w:t>Scheme Description</w:t>
      </w:r>
    </w:p>
    <w:p w:rsidR="00FE25AB" w:rsidRDefault="00FE25AB">
      <w:pPr>
        <w:pStyle w:val="Subsection"/>
        <w:ind w:left="720"/>
        <w:rPr>
          <w:b w:val="0"/>
          <w:bCs w:val="0"/>
          <w:sz w:val="20"/>
          <w:szCs w:val="20"/>
        </w:rPr>
      </w:pPr>
      <w:r>
        <w:rPr>
          <w:b w:val="0"/>
          <w:bCs w:val="0"/>
          <w:sz w:val="20"/>
          <w:szCs w:val="20"/>
        </w:rPr>
        <w:t>1.5</w:t>
      </w:r>
      <w:r>
        <w:rPr>
          <w:b w:val="0"/>
          <w:bCs w:val="0"/>
          <w:sz w:val="20"/>
          <w:szCs w:val="20"/>
        </w:rPr>
        <w:tab/>
      </w:r>
      <w:proofErr w:type="spellStart"/>
      <w:r>
        <w:rPr>
          <w:b w:val="0"/>
          <w:bCs w:val="0"/>
          <w:sz w:val="20"/>
          <w:szCs w:val="20"/>
        </w:rPr>
        <w:t>Strood</w:t>
      </w:r>
      <w:proofErr w:type="spellEnd"/>
      <w:r>
        <w:rPr>
          <w:b w:val="0"/>
          <w:bCs w:val="0"/>
          <w:sz w:val="20"/>
          <w:szCs w:val="20"/>
        </w:rPr>
        <w:t xml:space="preserve"> Station proposals</w:t>
      </w:r>
    </w:p>
    <w:p w:rsidR="00FE25AB" w:rsidRDefault="00FE25AB">
      <w:pPr>
        <w:pStyle w:val="Subsection"/>
        <w:ind w:left="720"/>
        <w:rPr>
          <w:b w:val="0"/>
          <w:bCs w:val="0"/>
          <w:sz w:val="20"/>
          <w:szCs w:val="20"/>
        </w:rPr>
      </w:pPr>
      <w:r>
        <w:rPr>
          <w:b w:val="0"/>
          <w:bCs w:val="0"/>
          <w:sz w:val="20"/>
          <w:szCs w:val="20"/>
        </w:rPr>
        <w:t>1.6</w:t>
      </w:r>
      <w:r>
        <w:rPr>
          <w:b w:val="0"/>
          <w:bCs w:val="0"/>
          <w:sz w:val="20"/>
          <w:szCs w:val="20"/>
        </w:rPr>
        <w:tab/>
        <w:t>Structure of Report</w:t>
      </w:r>
    </w:p>
    <w:p w:rsidR="00FE25AB" w:rsidRDefault="00FE25AB">
      <w:pPr>
        <w:ind w:left="0"/>
        <w:rPr>
          <w:sz w:val="20"/>
          <w:szCs w:val="20"/>
        </w:rPr>
      </w:pPr>
    </w:p>
    <w:p w:rsidR="00FE25AB" w:rsidRDefault="00FE25AB">
      <w:pPr>
        <w:pStyle w:val="SectionHeading"/>
        <w:rPr>
          <w:sz w:val="20"/>
          <w:szCs w:val="20"/>
        </w:rPr>
      </w:pPr>
      <w:r>
        <w:rPr>
          <w:sz w:val="20"/>
          <w:szCs w:val="20"/>
        </w:rPr>
        <w:t>2.0</w:t>
      </w:r>
      <w:r>
        <w:rPr>
          <w:sz w:val="20"/>
          <w:szCs w:val="20"/>
        </w:rPr>
        <w:tab/>
        <w:t>The Strategic Case</w:t>
      </w:r>
    </w:p>
    <w:p w:rsidR="00FE25AB" w:rsidRDefault="00FE25AB">
      <w:pPr>
        <w:pStyle w:val="Subsection"/>
        <w:ind w:left="720"/>
        <w:rPr>
          <w:b w:val="0"/>
          <w:bCs w:val="0"/>
          <w:sz w:val="20"/>
          <w:szCs w:val="20"/>
        </w:rPr>
      </w:pPr>
      <w:r>
        <w:rPr>
          <w:b w:val="0"/>
          <w:bCs w:val="0"/>
          <w:sz w:val="20"/>
          <w:szCs w:val="20"/>
        </w:rPr>
        <w:t>2.1</w:t>
      </w:r>
      <w:r>
        <w:rPr>
          <w:b w:val="0"/>
          <w:bCs w:val="0"/>
          <w:sz w:val="20"/>
          <w:szCs w:val="20"/>
        </w:rPr>
        <w:tab/>
      </w:r>
      <w:proofErr w:type="spellStart"/>
      <w:r>
        <w:rPr>
          <w:b w:val="0"/>
          <w:bCs w:val="0"/>
          <w:sz w:val="20"/>
          <w:szCs w:val="20"/>
        </w:rPr>
        <w:t>Strood</w:t>
      </w:r>
      <w:proofErr w:type="spellEnd"/>
      <w:r>
        <w:rPr>
          <w:b w:val="0"/>
          <w:bCs w:val="0"/>
          <w:sz w:val="20"/>
          <w:szCs w:val="20"/>
        </w:rPr>
        <w:t xml:space="preserve"> Economy </w:t>
      </w:r>
    </w:p>
    <w:p w:rsidR="00FE25AB" w:rsidRDefault="00FE25AB">
      <w:pPr>
        <w:pStyle w:val="Subsection"/>
        <w:ind w:left="720"/>
        <w:rPr>
          <w:b w:val="0"/>
          <w:bCs w:val="0"/>
          <w:sz w:val="20"/>
          <w:szCs w:val="20"/>
        </w:rPr>
      </w:pPr>
      <w:r>
        <w:rPr>
          <w:b w:val="0"/>
          <w:bCs w:val="0"/>
          <w:sz w:val="20"/>
          <w:szCs w:val="20"/>
        </w:rPr>
        <w:t>2.2</w:t>
      </w:r>
      <w:r>
        <w:rPr>
          <w:b w:val="0"/>
          <w:bCs w:val="0"/>
          <w:sz w:val="20"/>
          <w:szCs w:val="20"/>
        </w:rPr>
        <w:tab/>
        <w:t>Current Transport-Related Problems</w:t>
      </w:r>
    </w:p>
    <w:p w:rsidR="00FE25AB" w:rsidRDefault="00FE25AB">
      <w:pPr>
        <w:pStyle w:val="Subsection"/>
        <w:ind w:left="720"/>
        <w:rPr>
          <w:b w:val="0"/>
          <w:bCs w:val="0"/>
          <w:sz w:val="20"/>
          <w:szCs w:val="20"/>
        </w:rPr>
      </w:pPr>
      <w:r>
        <w:rPr>
          <w:b w:val="0"/>
          <w:bCs w:val="0"/>
          <w:sz w:val="20"/>
          <w:szCs w:val="20"/>
        </w:rPr>
        <w:t>2.3</w:t>
      </w:r>
      <w:r>
        <w:rPr>
          <w:b w:val="0"/>
          <w:bCs w:val="0"/>
          <w:sz w:val="20"/>
          <w:szCs w:val="20"/>
        </w:rPr>
        <w:tab/>
        <w:t>Policy Context</w:t>
      </w:r>
    </w:p>
    <w:p w:rsidR="00FE25AB" w:rsidRDefault="00FE25AB">
      <w:pPr>
        <w:pStyle w:val="Subsection"/>
        <w:ind w:left="720"/>
        <w:rPr>
          <w:b w:val="0"/>
          <w:bCs w:val="0"/>
          <w:sz w:val="20"/>
          <w:szCs w:val="20"/>
        </w:rPr>
      </w:pPr>
      <w:r>
        <w:rPr>
          <w:b w:val="0"/>
          <w:bCs w:val="0"/>
          <w:sz w:val="20"/>
          <w:szCs w:val="20"/>
        </w:rPr>
        <w:t>2.4</w:t>
      </w:r>
      <w:r>
        <w:rPr>
          <w:b w:val="0"/>
          <w:bCs w:val="0"/>
          <w:sz w:val="20"/>
          <w:szCs w:val="20"/>
        </w:rPr>
        <w:tab/>
        <w:t>Scheme Objectives &amp; Success Criteria</w:t>
      </w:r>
    </w:p>
    <w:p w:rsidR="00FE25AB" w:rsidRDefault="00FE25AB">
      <w:pPr>
        <w:pStyle w:val="Subsection"/>
        <w:ind w:left="720"/>
        <w:rPr>
          <w:b w:val="0"/>
          <w:bCs w:val="0"/>
          <w:sz w:val="20"/>
          <w:szCs w:val="20"/>
        </w:rPr>
      </w:pPr>
      <w:r>
        <w:rPr>
          <w:b w:val="0"/>
          <w:bCs w:val="0"/>
          <w:sz w:val="20"/>
          <w:szCs w:val="20"/>
        </w:rPr>
        <w:t>2.5</w:t>
      </w:r>
      <w:r>
        <w:rPr>
          <w:b w:val="0"/>
          <w:bCs w:val="0"/>
          <w:sz w:val="20"/>
          <w:szCs w:val="20"/>
        </w:rPr>
        <w:tab/>
        <w:t>Scheme Definition &amp; Options Appraisal</w:t>
      </w:r>
    </w:p>
    <w:p w:rsidR="00FE25AB" w:rsidRDefault="00FE25AB">
      <w:pPr>
        <w:pStyle w:val="Subsection"/>
        <w:ind w:left="720"/>
        <w:rPr>
          <w:b w:val="0"/>
          <w:bCs w:val="0"/>
          <w:sz w:val="20"/>
          <w:szCs w:val="20"/>
        </w:rPr>
      </w:pPr>
      <w:r>
        <w:rPr>
          <w:b w:val="0"/>
          <w:bCs w:val="0"/>
          <w:sz w:val="20"/>
          <w:szCs w:val="20"/>
        </w:rPr>
        <w:t>2.6</w:t>
      </w:r>
      <w:r>
        <w:rPr>
          <w:b w:val="0"/>
          <w:bCs w:val="0"/>
          <w:sz w:val="20"/>
          <w:szCs w:val="20"/>
        </w:rPr>
        <w:tab/>
        <w:t>Risk Assessment</w:t>
      </w:r>
    </w:p>
    <w:p w:rsidR="00FE25AB" w:rsidRDefault="00FE25AB">
      <w:pPr>
        <w:rPr>
          <w:sz w:val="20"/>
          <w:szCs w:val="20"/>
        </w:rPr>
      </w:pPr>
    </w:p>
    <w:p w:rsidR="00FE25AB" w:rsidRDefault="00FE25AB">
      <w:pPr>
        <w:pStyle w:val="SectionHeading"/>
        <w:rPr>
          <w:sz w:val="20"/>
          <w:szCs w:val="20"/>
        </w:rPr>
      </w:pPr>
      <w:r>
        <w:rPr>
          <w:sz w:val="20"/>
          <w:szCs w:val="20"/>
        </w:rPr>
        <w:t>3.0</w:t>
      </w:r>
      <w:r>
        <w:rPr>
          <w:sz w:val="20"/>
          <w:szCs w:val="20"/>
        </w:rPr>
        <w:tab/>
        <w:t>The Economic Case</w:t>
      </w:r>
    </w:p>
    <w:p w:rsidR="00FE25AB" w:rsidRDefault="00FE25AB">
      <w:pPr>
        <w:pStyle w:val="Subsection"/>
        <w:ind w:left="720"/>
        <w:rPr>
          <w:b w:val="0"/>
          <w:bCs w:val="0"/>
          <w:sz w:val="20"/>
          <w:szCs w:val="20"/>
        </w:rPr>
      </w:pPr>
      <w:r>
        <w:rPr>
          <w:b w:val="0"/>
          <w:bCs w:val="0"/>
          <w:sz w:val="20"/>
          <w:szCs w:val="20"/>
        </w:rPr>
        <w:t>3.1</w:t>
      </w:r>
      <w:r>
        <w:rPr>
          <w:b w:val="0"/>
          <w:bCs w:val="0"/>
          <w:sz w:val="20"/>
          <w:szCs w:val="20"/>
        </w:rPr>
        <w:tab/>
        <w:t>Overview of Appraisal Process</w:t>
      </w:r>
    </w:p>
    <w:p w:rsidR="00FE25AB" w:rsidRDefault="00FE25AB">
      <w:pPr>
        <w:pStyle w:val="Subsection"/>
        <w:ind w:left="720"/>
        <w:rPr>
          <w:b w:val="0"/>
          <w:bCs w:val="0"/>
          <w:sz w:val="20"/>
          <w:szCs w:val="20"/>
        </w:rPr>
      </w:pPr>
      <w:r>
        <w:rPr>
          <w:b w:val="0"/>
          <w:bCs w:val="0"/>
          <w:sz w:val="20"/>
          <w:szCs w:val="20"/>
        </w:rPr>
        <w:t>3.2</w:t>
      </w:r>
      <w:r>
        <w:rPr>
          <w:b w:val="0"/>
          <w:bCs w:val="0"/>
          <w:sz w:val="20"/>
          <w:szCs w:val="20"/>
        </w:rPr>
        <w:tab/>
        <w:t>Assumptions</w:t>
      </w:r>
    </w:p>
    <w:p w:rsidR="00FE25AB" w:rsidRDefault="00FE25AB">
      <w:pPr>
        <w:pStyle w:val="Subsection"/>
        <w:ind w:left="720"/>
        <w:rPr>
          <w:b w:val="0"/>
          <w:bCs w:val="0"/>
          <w:sz w:val="20"/>
          <w:szCs w:val="20"/>
        </w:rPr>
      </w:pPr>
      <w:r>
        <w:rPr>
          <w:b w:val="0"/>
          <w:bCs w:val="0"/>
          <w:sz w:val="20"/>
          <w:szCs w:val="20"/>
        </w:rPr>
        <w:t>3.3</w:t>
      </w:r>
      <w:r>
        <w:rPr>
          <w:b w:val="0"/>
          <w:bCs w:val="0"/>
          <w:sz w:val="20"/>
          <w:szCs w:val="20"/>
        </w:rPr>
        <w:tab/>
        <w:t>Summary of Impact Appraisal</w:t>
      </w:r>
    </w:p>
    <w:p w:rsidR="00FE25AB" w:rsidRDefault="00FE25AB">
      <w:pPr>
        <w:rPr>
          <w:sz w:val="20"/>
          <w:szCs w:val="20"/>
        </w:rPr>
      </w:pPr>
    </w:p>
    <w:p w:rsidR="00FE25AB" w:rsidRDefault="00FE25AB">
      <w:pPr>
        <w:pStyle w:val="SectionHeading"/>
        <w:rPr>
          <w:sz w:val="20"/>
          <w:szCs w:val="20"/>
        </w:rPr>
      </w:pPr>
      <w:r>
        <w:rPr>
          <w:sz w:val="20"/>
          <w:szCs w:val="20"/>
        </w:rPr>
        <w:t>4.0</w:t>
      </w:r>
      <w:r>
        <w:rPr>
          <w:sz w:val="20"/>
          <w:szCs w:val="20"/>
        </w:rPr>
        <w:tab/>
        <w:t>The Financial Case</w:t>
      </w:r>
    </w:p>
    <w:p w:rsidR="00FE25AB" w:rsidRDefault="00FE25AB">
      <w:pPr>
        <w:pStyle w:val="Subsection"/>
        <w:ind w:left="720"/>
        <w:rPr>
          <w:b w:val="0"/>
          <w:bCs w:val="0"/>
          <w:sz w:val="20"/>
          <w:szCs w:val="20"/>
        </w:rPr>
      </w:pPr>
      <w:r>
        <w:rPr>
          <w:b w:val="0"/>
          <w:bCs w:val="0"/>
          <w:sz w:val="20"/>
          <w:szCs w:val="20"/>
        </w:rPr>
        <w:t>4.1</w:t>
      </w:r>
      <w:r>
        <w:rPr>
          <w:b w:val="0"/>
          <w:bCs w:val="0"/>
          <w:sz w:val="20"/>
          <w:szCs w:val="20"/>
        </w:rPr>
        <w:tab/>
        <w:t>Overview of Affordability Assessment</w:t>
      </w:r>
    </w:p>
    <w:p w:rsidR="00FE25AB" w:rsidRDefault="00FE25AB">
      <w:pPr>
        <w:pStyle w:val="Subsection"/>
        <w:ind w:left="720"/>
        <w:rPr>
          <w:b w:val="0"/>
          <w:bCs w:val="0"/>
          <w:sz w:val="20"/>
          <w:szCs w:val="20"/>
        </w:rPr>
      </w:pPr>
      <w:r>
        <w:rPr>
          <w:b w:val="0"/>
          <w:bCs w:val="0"/>
          <w:sz w:val="20"/>
          <w:szCs w:val="20"/>
        </w:rPr>
        <w:t>4.2</w:t>
      </w:r>
      <w:r>
        <w:rPr>
          <w:b w:val="0"/>
          <w:bCs w:val="0"/>
          <w:sz w:val="20"/>
          <w:szCs w:val="20"/>
        </w:rPr>
        <w:tab/>
        <w:t>Project Costs</w:t>
      </w:r>
    </w:p>
    <w:p w:rsidR="00FE25AB" w:rsidRDefault="00FE25AB">
      <w:pPr>
        <w:pStyle w:val="Subsection"/>
        <w:ind w:left="720"/>
        <w:rPr>
          <w:b w:val="0"/>
          <w:bCs w:val="0"/>
          <w:sz w:val="20"/>
          <w:szCs w:val="20"/>
        </w:rPr>
      </w:pPr>
      <w:r>
        <w:rPr>
          <w:b w:val="0"/>
          <w:bCs w:val="0"/>
          <w:sz w:val="20"/>
          <w:szCs w:val="20"/>
        </w:rPr>
        <w:t>4.3</w:t>
      </w:r>
      <w:r>
        <w:rPr>
          <w:b w:val="0"/>
          <w:bCs w:val="0"/>
          <w:sz w:val="20"/>
          <w:szCs w:val="20"/>
        </w:rPr>
        <w:tab/>
        <w:t>Budget provision</w:t>
      </w:r>
    </w:p>
    <w:p w:rsidR="00FE25AB" w:rsidRDefault="00FE25AB">
      <w:pPr>
        <w:pStyle w:val="Subsection"/>
        <w:ind w:left="720"/>
        <w:rPr>
          <w:b w:val="0"/>
          <w:bCs w:val="0"/>
          <w:sz w:val="20"/>
          <w:szCs w:val="20"/>
        </w:rPr>
      </w:pPr>
      <w:r>
        <w:rPr>
          <w:b w:val="0"/>
          <w:bCs w:val="0"/>
          <w:sz w:val="20"/>
          <w:szCs w:val="20"/>
        </w:rPr>
        <w:t>4.4</w:t>
      </w:r>
      <w:r>
        <w:rPr>
          <w:b w:val="0"/>
          <w:bCs w:val="0"/>
          <w:sz w:val="20"/>
          <w:szCs w:val="20"/>
        </w:rPr>
        <w:tab/>
        <w:t>Funding Risks</w:t>
      </w:r>
    </w:p>
    <w:p w:rsidR="00FE25AB" w:rsidRDefault="00FE25AB">
      <w:pPr>
        <w:pStyle w:val="Subsection"/>
        <w:rPr>
          <w:sz w:val="20"/>
          <w:szCs w:val="20"/>
        </w:rPr>
      </w:pPr>
    </w:p>
    <w:p w:rsidR="00FE25AB" w:rsidRDefault="00FE25AB">
      <w:pPr>
        <w:pStyle w:val="SectionHeading"/>
        <w:rPr>
          <w:sz w:val="20"/>
          <w:szCs w:val="20"/>
        </w:rPr>
      </w:pPr>
      <w:r>
        <w:rPr>
          <w:sz w:val="20"/>
          <w:szCs w:val="20"/>
        </w:rPr>
        <w:t>5.0</w:t>
      </w:r>
      <w:r>
        <w:rPr>
          <w:sz w:val="20"/>
          <w:szCs w:val="20"/>
        </w:rPr>
        <w:tab/>
        <w:t>The Commercial Case</w:t>
      </w:r>
    </w:p>
    <w:p w:rsidR="00FE25AB" w:rsidRDefault="00FE25AB">
      <w:pPr>
        <w:pStyle w:val="SectionHeading"/>
        <w:rPr>
          <w:b w:val="0"/>
          <w:bCs w:val="0"/>
          <w:sz w:val="20"/>
          <w:szCs w:val="20"/>
        </w:rPr>
      </w:pPr>
      <w:r>
        <w:rPr>
          <w:sz w:val="22"/>
          <w:szCs w:val="22"/>
        </w:rPr>
        <w:tab/>
      </w:r>
      <w:r>
        <w:rPr>
          <w:b w:val="0"/>
          <w:bCs w:val="0"/>
          <w:sz w:val="20"/>
          <w:szCs w:val="20"/>
        </w:rPr>
        <w:t>5.1</w:t>
      </w:r>
      <w:r>
        <w:rPr>
          <w:b w:val="0"/>
          <w:bCs w:val="0"/>
          <w:sz w:val="20"/>
          <w:szCs w:val="20"/>
        </w:rPr>
        <w:tab/>
        <w:t>Programme &amp; Milestones</w:t>
      </w:r>
    </w:p>
    <w:p w:rsidR="00FE25AB" w:rsidRDefault="00FE25AB">
      <w:pPr>
        <w:pStyle w:val="Subsection"/>
        <w:ind w:left="720"/>
        <w:rPr>
          <w:b w:val="0"/>
          <w:bCs w:val="0"/>
          <w:sz w:val="20"/>
          <w:szCs w:val="20"/>
        </w:rPr>
      </w:pPr>
      <w:r>
        <w:rPr>
          <w:b w:val="0"/>
          <w:bCs w:val="0"/>
          <w:sz w:val="20"/>
          <w:szCs w:val="20"/>
        </w:rPr>
        <w:t>5.2</w:t>
      </w:r>
      <w:r>
        <w:rPr>
          <w:b w:val="0"/>
          <w:bCs w:val="0"/>
          <w:sz w:val="20"/>
          <w:szCs w:val="20"/>
        </w:rPr>
        <w:tab/>
        <w:t>Approach taken to assess commercial viability</w:t>
      </w:r>
    </w:p>
    <w:p w:rsidR="00FE25AB" w:rsidRDefault="00FE25AB">
      <w:pPr>
        <w:pStyle w:val="Subsection"/>
        <w:ind w:left="720"/>
        <w:rPr>
          <w:b w:val="0"/>
          <w:bCs w:val="0"/>
          <w:sz w:val="20"/>
          <w:szCs w:val="20"/>
        </w:rPr>
      </w:pPr>
      <w:r>
        <w:rPr>
          <w:b w:val="0"/>
          <w:bCs w:val="0"/>
          <w:sz w:val="20"/>
          <w:szCs w:val="20"/>
        </w:rPr>
        <w:t>5.3</w:t>
      </w:r>
      <w:r>
        <w:rPr>
          <w:b w:val="0"/>
          <w:bCs w:val="0"/>
          <w:sz w:val="20"/>
          <w:szCs w:val="20"/>
        </w:rPr>
        <w:tab/>
        <w:t>Procurement strategy</w:t>
      </w:r>
    </w:p>
    <w:p w:rsidR="00FE25AB" w:rsidRDefault="00FE25AB">
      <w:pPr>
        <w:pStyle w:val="Subsection"/>
        <w:ind w:left="720"/>
        <w:rPr>
          <w:sz w:val="20"/>
          <w:szCs w:val="20"/>
        </w:rPr>
      </w:pPr>
    </w:p>
    <w:p w:rsidR="00FE25AB" w:rsidRDefault="00FE25AB">
      <w:pPr>
        <w:pStyle w:val="SectionHeading"/>
        <w:rPr>
          <w:sz w:val="20"/>
          <w:szCs w:val="20"/>
        </w:rPr>
      </w:pPr>
      <w:r>
        <w:rPr>
          <w:sz w:val="20"/>
          <w:szCs w:val="20"/>
        </w:rPr>
        <w:t>6.0</w:t>
      </w:r>
      <w:r>
        <w:rPr>
          <w:sz w:val="20"/>
          <w:szCs w:val="20"/>
        </w:rPr>
        <w:tab/>
        <w:t>The Management Case</w:t>
      </w:r>
    </w:p>
    <w:p w:rsidR="00FE25AB" w:rsidRDefault="00FE25AB">
      <w:pPr>
        <w:rPr>
          <w:sz w:val="20"/>
          <w:szCs w:val="20"/>
        </w:rPr>
      </w:pPr>
      <w:r>
        <w:rPr>
          <w:color w:val="131311"/>
          <w:w w:val="107"/>
          <w:sz w:val="20"/>
          <w:szCs w:val="20"/>
        </w:rPr>
        <w:t>6.1</w:t>
      </w:r>
      <w:r>
        <w:rPr>
          <w:color w:val="131311"/>
          <w:w w:val="107"/>
          <w:sz w:val="20"/>
          <w:szCs w:val="20"/>
        </w:rPr>
        <w:tab/>
        <w:t>Governance &amp; Resources</w:t>
      </w:r>
    </w:p>
    <w:p w:rsidR="00FE25AB" w:rsidRDefault="00FE25AB">
      <w:pPr>
        <w:rPr>
          <w:sz w:val="20"/>
          <w:szCs w:val="20"/>
        </w:rPr>
      </w:pPr>
      <w:r>
        <w:rPr>
          <w:sz w:val="20"/>
          <w:szCs w:val="20"/>
        </w:rPr>
        <w:t>6.2</w:t>
      </w:r>
      <w:r>
        <w:rPr>
          <w:sz w:val="20"/>
          <w:szCs w:val="20"/>
        </w:rPr>
        <w:tab/>
        <w:t>Communication and Stakeholder Management Strategy</w:t>
      </w:r>
    </w:p>
    <w:p w:rsidR="00FE25AB" w:rsidRDefault="00FE25AB">
      <w:pPr>
        <w:pStyle w:val="SectionHeading"/>
        <w:ind w:left="720"/>
        <w:rPr>
          <w:b w:val="0"/>
          <w:bCs w:val="0"/>
          <w:sz w:val="20"/>
          <w:szCs w:val="20"/>
        </w:rPr>
      </w:pPr>
      <w:r>
        <w:rPr>
          <w:b w:val="0"/>
          <w:bCs w:val="0"/>
          <w:sz w:val="20"/>
          <w:szCs w:val="20"/>
        </w:rPr>
        <w:t>6.3</w:t>
      </w:r>
      <w:r>
        <w:rPr>
          <w:b w:val="0"/>
          <w:bCs w:val="0"/>
          <w:sz w:val="20"/>
          <w:szCs w:val="20"/>
        </w:rPr>
        <w:tab/>
        <w:t>Monitoring &amp; Evaluation</w:t>
      </w:r>
    </w:p>
    <w:p w:rsidR="00FE25AB" w:rsidRDefault="00FE25AB">
      <w:pPr>
        <w:rPr>
          <w:color w:val="131311"/>
          <w:w w:val="107"/>
          <w:sz w:val="20"/>
          <w:szCs w:val="20"/>
        </w:rPr>
      </w:pPr>
    </w:p>
    <w:p w:rsidR="00FE25AB" w:rsidRDefault="00FE25AB">
      <w:pPr>
        <w:pStyle w:val="SectionHeading"/>
        <w:rPr>
          <w:sz w:val="20"/>
          <w:szCs w:val="20"/>
        </w:rPr>
      </w:pPr>
      <w:r>
        <w:rPr>
          <w:sz w:val="20"/>
          <w:szCs w:val="20"/>
        </w:rPr>
        <w:t>7.0</w:t>
      </w:r>
      <w:r>
        <w:rPr>
          <w:sz w:val="20"/>
          <w:szCs w:val="20"/>
        </w:rPr>
        <w:tab/>
        <w:t>Conclusions</w:t>
      </w:r>
    </w:p>
    <w:p w:rsidR="00FE25AB" w:rsidRDefault="00FE25AB">
      <w:pPr>
        <w:pStyle w:val="SectionHeading"/>
        <w:rPr>
          <w:b w:val="0"/>
          <w:bCs w:val="0"/>
          <w:sz w:val="20"/>
          <w:szCs w:val="20"/>
        </w:rPr>
      </w:pPr>
    </w:p>
    <w:p w:rsidR="00FE25AB" w:rsidRDefault="00FE25AB">
      <w:pPr>
        <w:pStyle w:val="SectionHeading"/>
        <w:rPr>
          <w:sz w:val="20"/>
          <w:szCs w:val="20"/>
        </w:rPr>
      </w:pPr>
      <w:r>
        <w:rPr>
          <w:sz w:val="20"/>
          <w:szCs w:val="20"/>
        </w:rPr>
        <w:t>Tables</w:t>
      </w:r>
    </w:p>
    <w:p w:rsidR="00FE25AB" w:rsidRDefault="00FE25AB">
      <w:pPr>
        <w:ind w:left="0"/>
        <w:rPr>
          <w:sz w:val="20"/>
          <w:szCs w:val="20"/>
        </w:rPr>
        <w:sectPr w:rsidR="00FE25AB">
          <w:pgSz w:w="11906" w:h="16838"/>
          <w:pgMar w:top="1440" w:right="1133" w:bottom="1440" w:left="1440" w:header="708" w:footer="708" w:gutter="0"/>
          <w:cols w:space="708"/>
          <w:docGrid w:linePitch="360"/>
        </w:sectPr>
      </w:pPr>
    </w:p>
    <w:p w:rsidR="00FE25AB" w:rsidRDefault="00FE25AB">
      <w:pPr>
        <w:ind w:left="142"/>
        <w:rPr>
          <w:sz w:val="20"/>
          <w:szCs w:val="20"/>
        </w:rPr>
      </w:pPr>
      <w:r>
        <w:rPr>
          <w:sz w:val="20"/>
          <w:szCs w:val="20"/>
        </w:rPr>
        <w:lastRenderedPageBreak/>
        <w:t>Table 2a – Scheme Objectives</w:t>
      </w:r>
    </w:p>
    <w:p w:rsidR="00FE25AB" w:rsidRDefault="00FE25AB">
      <w:pPr>
        <w:ind w:left="142"/>
        <w:rPr>
          <w:sz w:val="20"/>
          <w:szCs w:val="20"/>
        </w:rPr>
      </w:pPr>
      <w:r>
        <w:rPr>
          <w:sz w:val="20"/>
          <w:szCs w:val="20"/>
        </w:rPr>
        <w:t>Table 2b - Summary of Scheme Option Assessment and Sifting</w:t>
      </w:r>
    </w:p>
    <w:p w:rsidR="00FE25AB" w:rsidRDefault="00FE25AB">
      <w:pPr>
        <w:ind w:left="142"/>
        <w:rPr>
          <w:sz w:val="20"/>
          <w:szCs w:val="20"/>
        </w:rPr>
      </w:pPr>
      <w:r>
        <w:rPr>
          <w:sz w:val="20"/>
          <w:szCs w:val="20"/>
        </w:rPr>
        <w:t>Table 2c – Risk Assessment</w:t>
      </w:r>
    </w:p>
    <w:p w:rsidR="00FE25AB" w:rsidRDefault="00FE25AB">
      <w:pPr>
        <w:ind w:left="142"/>
        <w:rPr>
          <w:sz w:val="20"/>
          <w:szCs w:val="20"/>
        </w:rPr>
      </w:pPr>
      <w:r>
        <w:rPr>
          <w:sz w:val="20"/>
          <w:szCs w:val="20"/>
        </w:rPr>
        <w:t>Table 3a – Rates of Walking &amp; Cycling</w:t>
      </w:r>
    </w:p>
    <w:p w:rsidR="00FE25AB" w:rsidRDefault="00FE25AB">
      <w:pPr>
        <w:ind w:left="142"/>
        <w:rPr>
          <w:sz w:val="20"/>
          <w:szCs w:val="20"/>
        </w:rPr>
      </w:pPr>
      <w:r>
        <w:rPr>
          <w:sz w:val="20"/>
          <w:szCs w:val="20"/>
        </w:rPr>
        <w:t>Table 3b – Summary of Collision History</w:t>
      </w:r>
    </w:p>
    <w:p w:rsidR="00FE25AB" w:rsidRDefault="00FE25AB">
      <w:pPr>
        <w:ind w:left="142"/>
        <w:rPr>
          <w:sz w:val="20"/>
          <w:szCs w:val="20"/>
        </w:rPr>
      </w:pPr>
      <w:r>
        <w:rPr>
          <w:sz w:val="20"/>
          <w:szCs w:val="20"/>
        </w:rPr>
        <w:t xml:space="preserve">Table 3c – Transport Economics Efficiency </w:t>
      </w:r>
    </w:p>
    <w:p w:rsidR="00FE25AB" w:rsidRDefault="00FE25AB">
      <w:pPr>
        <w:ind w:left="142"/>
        <w:rPr>
          <w:sz w:val="20"/>
          <w:szCs w:val="20"/>
        </w:rPr>
      </w:pPr>
      <w:r>
        <w:rPr>
          <w:sz w:val="20"/>
          <w:szCs w:val="20"/>
        </w:rPr>
        <w:t>Table 3d - Monetised Costs and Benefits</w:t>
      </w:r>
    </w:p>
    <w:p w:rsidR="00FE25AB" w:rsidRDefault="00FE25AB">
      <w:pPr>
        <w:ind w:left="142"/>
        <w:rPr>
          <w:sz w:val="20"/>
          <w:szCs w:val="20"/>
        </w:rPr>
      </w:pPr>
      <w:r>
        <w:rPr>
          <w:sz w:val="20"/>
          <w:szCs w:val="20"/>
        </w:rPr>
        <w:t xml:space="preserve">Table 4a - Scheme Costs </w:t>
      </w:r>
    </w:p>
    <w:p w:rsidR="00FE25AB" w:rsidRDefault="00FE25AB">
      <w:pPr>
        <w:ind w:left="142"/>
        <w:rPr>
          <w:sz w:val="20"/>
          <w:szCs w:val="20"/>
        </w:rPr>
      </w:pPr>
      <w:r>
        <w:rPr>
          <w:sz w:val="20"/>
          <w:szCs w:val="20"/>
        </w:rPr>
        <w:t>Table 4b – Estimated additional maintenance costs</w:t>
      </w:r>
    </w:p>
    <w:p w:rsidR="00FE25AB" w:rsidRDefault="00FE25AB">
      <w:pPr>
        <w:ind w:left="142"/>
        <w:rPr>
          <w:sz w:val="20"/>
          <w:szCs w:val="20"/>
        </w:rPr>
      </w:pPr>
      <w:r>
        <w:rPr>
          <w:sz w:val="20"/>
          <w:szCs w:val="20"/>
        </w:rPr>
        <w:lastRenderedPageBreak/>
        <w:t xml:space="preserve">Table 4c – Cost Profile </w:t>
      </w:r>
    </w:p>
    <w:p w:rsidR="00FE25AB" w:rsidRDefault="00FE25AB">
      <w:pPr>
        <w:ind w:left="142"/>
        <w:rPr>
          <w:sz w:val="20"/>
          <w:szCs w:val="20"/>
        </w:rPr>
      </w:pPr>
      <w:r>
        <w:rPr>
          <w:sz w:val="20"/>
          <w:szCs w:val="20"/>
        </w:rPr>
        <w:t>Table 4d – Cost Profile by Expenditure Item</w:t>
      </w:r>
    </w:p>
    <w:p w:rsidR="00FE25AB" w:rsidRDefault="00FE25AB">
      <w:pPr>
        <w:ind w:left="142"/>
        <w:rPr>
          <w:sz w:val="20"/>
          <w:szCs w:val="20"/>
        </w:rPr>
      </w:pPr>
      <w:r>
        <w:rPr>
          <w:sz w:val="20"/>
          <w:szCs w:val="20"/>
        </w:rPr>
        <w:t>Table 5a - Delivery programme</w:t>
      </w:r>
    </w:p>
    <w:p w:rsidR="00FE25AB" w:rsidRDefault="00FE25AB">
      <w:pPr>
        <w:ind w:left="142"/>
        <w:rPr>
          <w:sz w:val="20"/>
          <w:szCs w:val="20"/>
        </w:rPr>
      </w:pPr>
      <w:r>
        <w:rPr>
          <w:sz w:val="20"/>
          <w:szCs w:val="20"/>
        </w:rPr>
        <w:t xml:space="preserve">Table 5b - Milestones </w:t>
      </w:r>
    </w:p>
    <w:p w:rsidR="00FE25AB" w:rsidRDefault="00FE25AB">
      <w:pPr>
        <w:ind w:left="142"/>
        <w:rPr>
          <w:sz w:val="20"/>
          <w:szCs w:val="20"/>
        </w:rPr>
      </w:pPr>
      <w:r>
        <w:rPr>
          <w:sz w:val="20"/>
          <w:szCs w:val="20"/>
        </w:rPr>
        <w:t>Table 5c – Two-Stage Procurement Strategy</w:t>
      </w:r>
    </w:p>
    <w:p w:rsidR="00FE25AB" w:rsidRDefault="00FE25AB">
      <w:pPr>
        <w:ind w:left="142"/>
        <w:rPr>
          <w:sz w:val="20"/>
          <w:szCs w:val="20"/>
        </w:rPr>
      </w:pPr>
      <w:r>
        <w:rPr>
          <w:sz w:val="20"/>
          <w:szCs w:val="20"/>
        </w:rPr>
        <w:t>Table 6a - Medway Council key management and governance arrangements</w:t>
      </w:r>
    </w:p>
    <w:p w:rsidR="00FE25AB" w:rsidRDefault="00FE25AB">
      <w:pPr>
        <w:ind w:left="142"/>
        <w:rPr>
          <w:sz w:val="20"/>
          <w:szCs w:val="20"/>
        </w:rPr>
      </w:pPr>
      <w:r>
        <w:rPr>
          <w:sz w:val="20"/>
          <w:szCs w:val="20"/>
        </w:rPr>
        <w:t>Table 6b – SE LEP key management and governance arrangements</w:t>
      </w:r>
    </w:p>
    <w:p w:rsidR="00FE25AB" w:rsidRDefault="00FE25AB">
      <w:pPr>
        <w:ind w:left="142"/>
        <w:rPr>
          <w:sz w:val="20"/>
          <w:szCs w:val="20"/>
        </w:rPr>
      </w:pPr>
      <w:r>
        <w:rPr>
          <w:sz w:val="20"/>
          <w:szCs w:val="20"/>
        </w:rPr>
        <w:t>Table 6c – Key Performance Indicators</w:t>
      </w:r>
    </w:p>
    <w:p w:rsidR="00FE25AB" w:rsidRDefault="00FE25AB">
      <w:pPr>
        <w:ind w:left="142"/>
        <w:rPr>
          <w:sz w:val="20"/>
          <w:szCs w:val="20"/>
        </w:rPr>
      </w:pPr>
      <w:r>
        <w:rPr>
          <w:sz w:val="20"/>
          <w:szCs w:val="20"/>
        </w:rPr>
        <w:t>Table 6d - Data Collection</w:t>
      </w:r>
    </w:p>
    <w:p w:rsidR="00FE25AB" w:rsidRDefault="00FE25AB">
      <w:pPr>
        <w:pStyle w:val="SectionHeading"/>
        <w:rPr>
          <w:sz w:val="20"/>
          <w:szCs w:val="20"/>
        </w:rPr>
        <w:sectPr w:rsidR="00FE25AB">
          <w:type w:val="continuous"/>
          <w:pgSz w:w="11906" w:h="16838"/>
          <w:pgMar w:top="1440" w:right="1133" w:bottom="1440" w:left="1440" w:header="708" w:footer="708" w:gutter="0"/>
          <w:cols w:num="2" w:space="708"/>
          <w:docGrid w:linePitch="360"/>
        </w:sectPr>
      </w:pPr>
    </w:p>
    <w:p w:rsidR="00FE25AB" w:rsidRDefault="00FE25AB">
      <w:pPr>
        <w:pStyle w:val="SectionHeading"/>
        <w:rPr>
          <w:sz w:val="20"/>
          <w:szCs w:val="20"/>
        </w:rPr>
      </w:pPr>
    </w:p>
    <w:p w:rsidR="00FE25AB" w:rsidRDefault="00FE25AB">
      <w:pPr>
        <w:pStyle w:val="SectionHeading"/>
        <w:ind w:firstLine="720"/>
        <w:rPr>
          <w:sz w:val="20"/>
          <w:szCs w:val="20"/>
        </w:rPr>
      </w:pPr>
    </w:p>
    <w:p w:rsidR="00FE25AB" w:rsidRDefault="00FE25AB">
      <w:pPr>
        <w:pStyle w:val="SectionHeading"/>
        <w:rPr>
          <w:sz w:val="20"/>
          <w:szCs w:val="20"/>
        </w:rPr>
      </w:pPr>
      <w:r>
        <w:rPr>
          <w:sz w:val="20"/>
          <w:szCs w:val="20"/>
        </w:rPr>
        <w:t>Appendices</w:t>
      </w:r>
    </w:p>
    <w:p w:rsidR="00FE25AB" w:rsidRDefault="00FE25AB">
      <w:pPr>
        <w:pStyle w:val="Subsection"/>
        <w:rPr>
          <w:b w:val="0"/>
          <w:bCs w:val="0"/>
          <w:sz w:val="20"/>
          <w:szCs w:val="20"/>
        </w:rPr>
      </w:pPr>
      <w:r>
        <w:rPr>
          <w:b w:val="0"/>
          <w:bCs w:val="0"/>
          <w:sz w:val="20"/>
          <w:szCs w:val="20"/>
        </w:rPr>
        <w:t>Appendix A –Details of Preferred Scheme</w:t>
      </w:r>
    </w:p>
    <w:p w:rsidR="00FE25AB" w:rsidRDefault="00FE25AB">
      <w:pPr>
        <w:pStyle w:val="SectionHeading"/>
        <w:rPr>
          <w:b w:val="0"/>
          <w:bCs w:val="0"/>
        </w:rPr>
      </w:pPr>
      <w:r>
        <w:rPr>
          <w:b w:val="0"/>
          <w:bCs w:val="0"/>
          <w:sz w:val="20"/>
          <w:szCs w:val="20"/>
        </w:rPr>
        <w:lastRenderedPageBreak/>
        <w:t>Appendix B – Governance Arrangements</w:t>
      </w:r>
      <w:r>
        <w:br w:type="page"/>
      </w:r>
    </w:p>
    <w:p w:rsidR="00FE25AB" w:rsidRDefault="00FE25AB">
      <w:pPr>
        <w:pStyle w:val="SectionHeading"/>
        <w:ind w:left="720"/>
      </w:pPr>
      <w:r>
        <w:t>Executive Summary</w:t>
      </w:r>
    </w:p>
    <w:p w:rsidR="00FE25AB" w:rsidRDefault="00FE25AB">
      <w:pPr>
        <w:pStyle w:val="Subsection"/>
        <w:rPr>
          <w:b w:val="0"/>
          <w:bCs w:val="0"/>
        </w:rPr>
      </w:pPr>
    </w:p>
    <w:p w:rsidR="00FE25AB" w:rsidRDefault="00FE25AB">
      <w:pPr>
        <w:pStyle w:val="Subsection"/>
        <w:ind w:firstLine="720"/>
      </w:pPr>
      <w:r>
        <w:t>Background</w:t>
      </w:r>
    </w:p>
    <w:p w:rsidR="00FE25AB" w:rsidRDefault="00FE25AB"/>
    <w:p w:rsidR="00FE25AB" w:rsidRDefault="00FE25AB">
      <w:pPr>
        <w:rPr>
          <w:noProof/>
        </w:rPr>
      </w:pPr>
      <w:r>
        <w:t xml:space="preserve">This Business Case has been developed to provide detail of the scope and economic viability of scheme proposals for </w:t>
      </w:r>
      <w:proofErr w:type="spellStart"/>
      <w:r>
        <w:t>Strood</w:t>
      </w:r>
      <w:proofErr w:type="spellEnd"/>
      <w:r>
        <w:t xml:space="preserve"> Town Centre, which include proposals for journey time and accessibility enhancements and; public realm and retail centre improvements that will facilitate regeneration and growth within </w:t>
      </w:r>
      <w:proofErr w:type="spellStart"/>
      <w:r>
        <w:t>Strood</w:t>
      </w:r>
      <w:proofErr w:type="spellEnd"/>
      <w:r>
        <w:t xml:space="preserve">. </w:t>
      </w:r>
    </w:p>
    <w:p w:rsidR="00FE25AB" w:rsidRDefault="00FE25AB"/>
    <w:p w:rsidR="00FE25AB" w:rsidRDefault="00FE25AB">
      <w:pPr>
        <w:rPr>
          <w:noProof/>
        </w:rPr>
      </w:pPr>
      <w:r>
        <w:t xml:space="preserve">During early 2014 Medway Council put together a package of schemes as part of the Local Enterprise Partnerships bid for the governments Local Growth Fund (LGF). A total of £68.1million was granted to the Kent and Medway federated area for projects that will commence in 2015/16. £28.6million was allocated for five successful Medway schemes and </w:t>
      </w:r>
      <w:proofErr w:type="spellStart"/>
      <w:r>
        <w:t>DfT</w:t>
      </w:r>
      <w:proofErr w:type="spellEnd"/>
      <w:r>
        <w:t xml:space="preserve"> provisionally approved an initial business case submission for </w:t>
      </w:r>
      <w:proofErr w:type="spellStart"/>
      <w:r>
        <w:t>Strood</w:t>
      </w:r>
      <w:proofErr w:type="spellEnd"/>
      <w:r>
        <w:t xml:space="preserve">, with </w:t>
      </w:r>
      <w:r>
        <w:rPr>
          <w:noProof/>
        </w:rPr>
        <w:t>a provisional allocation of £9m.</w:t>
      </w:r>
    </w:p>
    <w:p w:rsidR="00FE25AB" w:rsidRDefault="00FE25AB">
      <w:pPr>
        <w:rPr>
          <w:noProof/>
        </w:rPr>
      </w:pPr>
      <w:r>
        <w:rPr>
          <w:noProof/>
        </w:rPr>
        <w:t xml:space="preserve">. </w:t>
      </w:r>
    </w:p>
    <w:p w:rsidR="00FE25AB" w:rsidRDefault="00FE25AB">
      <w:pPr>
        <w:rPr>
          <w:lang w:val="en-US"/>
        </w:rPr>
      </w:pPr>
      <w:proofErr w:type="spellStart"/>
      <w:r>
        <w:rPr>
          <w:lang w:val="en-US"/>
        </w:rPr>
        <w:t>Strood</w:t>
      </w:r>
      <w:proofErr w:type="spellEnd"/>
      <w:r>
        <w:rPr>
          <w:lang w:val="en-US"/>
        </w:rPr>
        <w:t xml:space="preserve"> lies within the Thames Gateway, a designated area for the growth of new communities, with Medway highlighted in the Delivery Plan as a strategic location for investment.  </w:t>
      </w:r>
    </w:p>
    <w:p w:rsidR="00FE25AB" w:rsidRDefault="00FE25AB">
      <w:pPr>
        <w:rPr>
          <w:lang w:val="en-US"/>
        </w:rPr>
      </w:pPr>
    </w:p>
    <w:p w:rsidR="00FE25AB" w:rsidRDefault="00FE25AB">
      <w:r>
        <w:t>A number of interventions are proposed within the LGF bid to address the issue of poor journey times, improvements to pedestrian accessibility, new cycle facilities and urban realm enhancement. These will form an integrated package of traffic management measures and network improvements.</w:t>
      </w:r>
    </w:p>
    <w:p w:rsidR="00FE25AB" w:rsidRDefault="00FE25AB"/>
    <w:p w:rsidR="00FE25AB" w:rsidRDefault="00FE25AB">
      <w:pPr>
        <w:rPr>
          <w:b/>
          <w:bCs/>
        </w:rPr>
      </w:pPr>
      <w:r>
        <w:t xml:space="preserve">The proposals also include a match funding contribution to Network Rail proposals to reconstruct </w:t>
      </w:r>
      <w:proofErr w:type="spellStart"/>
      <w:r>
        <w:t>Strood</w:t>
      </w:r>
      <w:proofErr w:type="spellEnd"/>
      <w:r>
        <w:t xml:space="preserve"> Station to significantly improve the customer experience.</w:t>
      </w:r>
    </w:p>
    <w:p w:rsidR="00FE25AB" w:rsidRDefault="00FE25AB"/>
    <w:p w:rsidR="00FE25AB" w:rsidRDefault="00FE25AB">
      <w:pPr>
        <w:pStyle w:val="Subsection"/>
        <w:ind w:firstLine="720"/>
      </w:pPr>
      <w:r>
        <w:t>The Strategic Case</w:t>
      </w:r>
    </w:p>
    <w:p w:rsidR="00FE25AB" w:rsidRDefault="00FE25AB"/>
    <w:p w:rsidR="00FE25AB" w:rsidRDefault="00FE25AB">
      <w:proofErr w:type="spellStart"/>
      <w:r>
        <w:rPr>
          <w:lang w:val="en-US"/>
        </w:rPr>
        <w:t>Strood</w:t>
      </w:r>
      <w:proofErr w:type="spellEnd"/>
      <w:r>
        <w:rPr>
          <w:lang w:val="en-US"/>
        </w:rPr>
        <w:t xml:space="preserve"> suffers from deprivation, with low weekly wages and an unemployment rate significantly higher than the regional/national average. </w:t>
      </w:r>
      <w:r>
        <w:t xml:space="preserve">Average house prices are below the national average, which is indicative of the economic pressures and congested network environment, which gives a poor perception of the town as a place to live and work. </w:t>
      </w:r>
    </w:p>
    <w:p w:rsidR="00FE25AB" w:rsidRDefault="00FE25AB"/>
    <w:p w:rsidR="00FE25AB" w:rsidRDefault="00FE25AB">
      <w:r>
        <w:t xml:space="preserve">The inefficient operation of the transport network around </w:t>
      </w:r>
      <w:proofErr w:type="spellStart"/>
      <w:r>
        <w:t>Strood</w:t>
      </w:r>
      <w:proofErr w:type="spellEnd"/>
      <w:r>
        <w:t xml:space="preserve"> town centre, along with the traffic generation and operational issues created by the nearby Medway City Estate, are a barrier to growth. There are pockets of severe congestion and very limited facilities for cyclists. In addition, pedestrians need to cross numerous side roads and links to reach main destinations within the town.  </w:t>
      </w:r>
    </w:p>
    <w:p w:rsidR="00FE25AB" w:rsidRDefault="00FE25AB"/>
    <w:p w:rsidR="00FE25AB" w:rsidRDefault="00FE25AB">
      <w:pPr>
        <w:rPr>
          <w:lang w:val="en-US"/>
        </w:rPr>
      </w:pPr>
      <w:r>
        <w:rPr>
          <w:lang w:val="en-US"/>
        </w:rPr>
        <w:t>By improving the accessibility and circulation and helping bring about modal shift through the creation of better and sustainable networks, the project will help secure improved environmental conditions and act as a catalyst to help increase the potential capacity of existing development sites, as well as bringing forward new development opportunities.</w:t>
      </w:r>
    </w:p>
    <w:p w:rsidR="00FE25AB" w:rsidRDefault="00FE25AB">
      <w:pPr>
        <w:rPr>
          <w:lang w:val="en-US"/>
        </w:rPr>
      </w:pPr>
    </w:p>
    <w:p w:rsidR="00FE25AB" w:rsidRDefault="00FE25AB">
      <w:r>
        <w:t xml:space="preserve">A holistic scheme plan has been developed for </w:t>
      </w:r>
      <w:proofErr w:type="spellStart"/>
      <w:r>
        <w:t>Strood</w:t>
      </w:r>
      <w:proofErr w:type="spellEnd"/>
      <w:r>
        <w:t xml:space="preserve"> that will address the challenges of poor journey times and accessibility and a “tired” and degraded urban environment. Measures will include schemes to unlock and facilitate access to major new housing and employment sites and significant improve </w:t>
      </w:r>
      <w:proofErr w:type="spellStart"/>
      <w:r>
        <w:t>Strood</w:t>
      </w:r>
      <w:proofErr w:type="spellEnd"/>
      <w:r>
        <w:t xml:space="preserve"> Station. The proposals will support these goals by forming an integrated package of targeted improvements. </w:t>
      </w:r>
    </w:p>
    <w:p w:rsidR="00FE25AB" w:rsidRDefault="00FE25AB">
      <w:pPr>
        <w:pStyle w:val="Subsection"/>
      </w:pPr>
    </w:p>
    <w:p w:rsidR="00FE25AB" w:rsidRDefault="00FE25AB">
      <w:pPr>
        <w:pStyle w:val="Subsection"/>
        <w:ind w:firstLine="720"/>
      </w:pPr>
      <w:r>
        <w:t>The Economic Case</w:t>
      </w:r>
    </w:p>
    <w:p w:rsidR="00FE25AB" w:rsidRDefault="00FE25AB">
      <w:pPr>
        <w:pStyle w:val="SectionHeading"/>
      </w:pPr>
    </w:p>
    <w:p w:rsidR="00FE25AB" w:rsidRDefault="00FE25AB">
      <w:r>
        <w:t xml:space="preserve">All analysis has been undertaken using </w:t>
      </w:r>
      <w:proofErr w:type="spellStart"/>
      <w:r>
        <w:t>WebTAG</w:t>
      </w:r>
      <w:proofErr w:type="spellEnd"/>
      <w:r>
        <w:t xml:space="preserve"> principles in terms of economic parameters and assessment methods. The benefit calculation is considered to be a conservative total as not all benefits have been monetised. A total of £9.0m has been assumed for the works outlined with an optimism bias rate of 44%.</w:t>
      </w:r>
    </w:p>
    <w:p w:rsidR="00FE25AB" w:rsidRDefault="00FE25AB"/>
    <w:p w:rsidR="00FE25AB" w:rsidRDefault="00FE25AB">
      <w:r>
        <w:t>The scheme returns a benefit cost ratio (BCR) of 2.1. Benefit levels have been assumed at the lower ends of potential ranges in each case, hence the BCR of 2.1 to be a lower bound estimate of the potential conclusion, were more detailed modelling to be carried out.</w:t>
      </w:r>
    </w:p>
    <w:p w:rsidR="00FE25AB" w:rsidRDefault="00FE25AB">
      <w:pPr>
        <w:pStyle w:val="SectionHeading"/>
      </w:pPr>
    </w:p>
    <w:p w:rsidR="00FE25AB" w:rsidRDefault="00FE25AB">
      <w:pPr>
        <w:pStyle w:val="Subsection"/>
        <w:ind w:firstLine="720"/>
      </w:pPr>
      <w:r>
        <w:t>The Financial Case</w:t>
      </w:r>
    </w:p>
    <w:p w:rsidR="00FE25AB" w:rsidRDefault="00FE25AB"/>
    <w:p w:rsidR="00FE25AB" w:rsidRDefault="00FE25AB">
      <w:r>
        <w:t xml:space="preserve">Medway Council has already put together a package of schemes as part of the Local Enterprise Partnership’s LGF bid and a total of £68.1million has been granted to the Kent and Medway federated area for projects that will commence in 2015/16. Of this, £28.6million was allocated for five successful Medway schemes, including £9m for a </w:t>
      </w:r>
      <w:proofErr w:type="spellStart"/>
      <w:r>
        <w:t>Strood</w:t>
      </w:r>
      <w:proofErr w:type="spellEnd"/>
      <w:r>
        <w:t xml:space="preserve"> town centre scheme.</w:t>
      </w:r>
    </w:p>
    <w:p w:rsidR="00FE25AB" w:rsidRDefault="00FE25AB"/>
    <w:p w:rsidR="00FE25AB" w:rsidRDefault="00FE25AB">
      <w:r>
        <w:t>The estimated costs for the scheme include 15% preparatory costs associated with preliminary and detailed scheme design, and 15% contingency risk costs for scheme construction. There are no high-risk elements to delivery of the core scheme that have been identified as there is no need for compulsory purchase of land or major planning applications</w:t>
      </w:r>
    </w:p>
    <w:p w:rsidR="00FE25AB" w:rsidRDefault="00FE25AB"/>
    <w:p w:rsidR="00FE25AB" w:rsidRDefault="00FE25AB">
      <w:r>
        <w:t xml:space="preserve">A £1.25m match funding contribution is included within the LGF bid to enable redevelopment of </w:t>
      </w:r>
      <w:proofErr w:type="spellStart"/>
      <w:r>
        <w:t>Strood</w:t>
      </w:r>
      <w:proofErr w:type="spellEnd"/>
      <w:r>
        <w:t xml:space="preserve"> Station. </w:t>
      </w:r>
    </w:p>
    <w:p w:rsidR="00FE25AB" w:rsidRDefault="00FE25AB"/>
    <w:p w:rsidR="00FE25AB" w:rsidRDefault="00FE25AB">
      <w:r>
        <w:t>£2.5m of developer funding is predicted to become available in the 2017/18 financial year, subject to completion of associated land deals. Further planning, consultation and detailed design work will take place during 2015/16 and 2016/17, with initial preparatory works and early win schemes being delivered in 2016/17. The majority of construction works will be delivered in 2017/18.</w:t>
      </w:r>
    </w:p>
    <w:p w:rsidR="00FE25AB" w:rsidRDefault="00FE25AB">
      <w:pPr>
        <w:pStyle w:val="Subsection"/>
      </w:pPr>
    </w:p>
    <w:p w:rsidR="00FE25AB" w:rsidRDefault="00FE25AB">
      <w:pPr>
        <w:pStyle w:val="Subsection"/>
        <w:ind w:firstLine="720"/>
      </w:pPr>
      <w:r>
        <w:t>The Commercial Case</w:t>
      </w:r>
    </w:p>
    <w:p w:rsidR="00FE25AB" w:rsidRDefault="00FE25AB">
      <w:pPr>
        <w:pStyle w:val="SectionHeading"/>
      </w:pPr>
    </w:p>
    <w:p w:rsidR="00FE25AB" w:rsidRDefault="00FE25AB">
      <w:r>
        <w:t>Construction of this scheme is programmed for completion by June 2018. A two-stage or traditional procurement strategy will be adopted and supported by the Council’s internal procurement governance arrangements, including a comprehensive Gateway reporting process, procurement support and guidance from the Council’s dedicated Category Management Team.</w:t>
      </w:r>
    </w:p>
    <w:p w:rsidR="00FE25AB" w:rsidRDefault="00FE25AB">
      <w:pPr>
        <w:jc w:val="distribute"/>
      </w:pPr>
    </w:p>
    <w:p w:rsidR="00FE25AB" w:rsidRDefault="00FE25AB">
      <w:r>
        <w:t>Due diligence on all key scheme proposals and awards will be governed through the Council’s Divisional Management Team (attended by senior Council officers and service heads), Procurement Board (attended by senior Council officers, service heads, and member portfolio holders), and if necessary full Cabinet. Officers have also engaged with the Council’s own internal Audit Team from the first stages of this project in order to provide additional surety around the scheme management process and the project deliverability.</w:t>
      </w:r>
    </w:p>
    <w:p w:rsidR="00FE25AB" w:rsidRDefault="00FE25AB">
      <w:pPr>
        <w:ind w:left="0"/>
      </w:pPr>
    </w:p>
    <w:p w:rsidR="00FE25AB" w:rsidRDefault="00FE25AB">
      <w:pPr>
        <w:pStyle w:val="Subsection"/>
        <w:ind w:firstLine="720"/>
      </w:pPr>
      <w:r>
        <w:t>The Management Case</w:t>
      </w:r>
    </w:p>
    <w:p w:rsidR="00FE25AB" w:rsidRDefault="00FE25AB">
      <w:pPr>
        <w:rPr>
          <w:color w:val="131311"/>
          <w:w w:val="107"/>
          <w:sz w:val="20"/>
          <w:szCs w:val="20"/>
        </w:rPr>
      </w:pPr>
    </w:p>
    <w:p w:rsidR="00FE25AB" w:rsidRDefault="00FE25AB">
      <w:r>
        <w:lastRenderedPageBreak/>
        <w:t xml:space="preserve">Medway Council and the South East Local Enterprise Partnership (SE LEP) has arrangements in place to effectively manage and govern the projects funded through the LGF (Local Growth Fund), , including an established project management toolkit based on PRINCE2 methodology and governance arrangements that involve both elected members and senior officers of the council. </w:t>
      </w:r>
    </w:p>
    <w:p w:rsidR="00FE25AB" w:rsidRDefault="00FE25AB">
      <w:pPr>
        <w:rPr>
          <w:color w:val="E36C0A"/>
        </w:rPr>
      </w:pPr>
    </w:p>
    <w:p w:rsidR="00FE25AB" w:rsidRDefault="00FE25AB">
      <w:pPr>
        <w:pStyle w:val="ListParagraph"/>
        <w:spacing w:after="0" w:line="240" w:lineRule="auto"/>
        <w:rPr>
          <w:rFonts w:ascii="Arial" w:hAnsi="Arial" w:cs="Arial"/>
        </w:rPr>
      </w:pPr>
      <w:r>
        <w:rPr>
          <w:rFonts w:ascii="Arial" w:hAnsi="Arial" w:cs="Arial"/>
        </w:rPr>
        <w:t>Monitoring and evaluation proposals have been developed to align with the scheme objectives, involving baseline data collection that will be used to monitor the scheme outcomes in future years.</w:t>
      </w:r>
    </w:p>
    <w:p w:rsidR="00FE25AB" w:rsidRDefault="00FE25AB"/>
    <w:p w:rsidR="00FE25AB" w:rsidRDefault="00FE25AB">
      <w:r>
        <w:br w:type="page"/>
      </w:r>
    </w:p>
    <w:p w:rsidR="00FE25AB" w:rsidRDefault="00FE25AB">
      <w:pPr>
        <w:pStyle w:val="SectionHeading"/>
      </w:pPr>
      <w:r>
        <w:t>1.0</w:t>
      </w:r>
      <w:r>
        <w:tab/>
        <w:t>Introduction</w:t>
      </w:r>
    </w:p>
    <w:p w:rsidR="00FE25AB" w:rsidRDefault="00FE25AB"/>
    <w:p w:rsidR="00FE25AB" w:rsidRDefault="00FE25AB">
      <w:pPr>
        <w:pStyle w:val="Subsection"/>
      </w:pPr>
      <w:r>
        <w:t>1.1</w:t>
      </w:r>
      <w:r>
        <w:tab/>
        <w:t>Purpose of Report</w:t>
      </w:r>
    </w:p>
    <w:p w:rsidR="00FE25AB" w:rsidRDefault="00FE25AB"/>
    <w:p w:rsidR="00FE25AB" w:rsidRDefault="00FE25AB">
      <w:pPr>
        <w:rPr>
          <w:noProof/>
        </w:rPr>
      </w:pPr>
      <w:r>
        <w:t xml:space="preserve">This Business Case has been developed to provide detail of the scope and economic viability of scheme proposals for </w:t>
      </w:r>
      <w:proofErr w:type="spellStart"/>
      <w:r>
        <w:t>Strood</w:t>
      </w:r>
      <w:proofErr w:type="spellEnd"/>
      <w:r>
        <w:t xml:space="preserve"> Town Centre, which include proposals for journey time and accessibility enhancements and; public realm and retail centre improvements that will facilitate regeneration and growth within </w:t>
      </w:r>
      <w:proofErr w:type="spellStart"/>
      <w:r>
        <w:t>Strood</w:t>
      </w:r>
      <w:proofErr w:type="spellEnd"/>
      <w:r>
        <w:t xml:space="preserve">. </w:t>
      </w:r>
      <w:r>
        <w:rPr>
          <w:noProof/>
        </w:rPr>
        <w:t>It sets out the predicted economic benefits of the proposed scheme, building on an initial South East Local Enterprise Partnership (SE LEP) business case for this project.</w:t>
      </w:r>
    </w:p>
    <w:p w:rsidR="00FE25AB" w:rsidRDefault="00FE25AB">
      <w:pPr>
        <w:ind w:left="0"/>
      </w:pPr>
    </w:p>
    <w:p w:rsidR="00FE25AB" w:rsidRDefault="00FE25AB">
      <w:pPr>
        <w:pStyle w:val="Subsection"/>
      </w:pPr>
      <w:r>
        <w:t>1.2</w:t>
      </w:r>
      <w:r>
        <w:tab/>
        <w:t>Background of proposals</w:t>
      </w:r>
    </w:p>
    <w:p w:rsidR="00FE25AB" w:rsidRDefault="00FE25AB"/>
    <w:p w:rsidR="00FE25AB" w:rsidRDefault="00FE25AB">
      <w:r>
        <w:t>During early 2014 Medway Council put together a package of schemes as part of the Local Enterprise Partnerships bid for the governments Local Growth Fund (LGF). A total of £68.1million was granted to the Kent and Medway federated area for projects that will commence in 2015/16.</w:t>
      </w:r>
    </w:p>
    <w:p w:rsidR="00FE25AB" w:rsidRDefault="00FE25AB"/>
    <w:p w:rsidR="00FE25AB" w:rsidRDefault="00FE25AB">
      <w:r>
        <w:t>£28.6million was allocated for five successful Medway schemes as follows:</w:t>
      </w:r>
    </w:p>
    <w:p w:rsidR="00FE25AB" w:rsidRDefault="00FE25AB"/>
    <w:p w:rsidR="00FE25AB" w:rsidRDefault="00FE25AB">
      <w:pPr>
        <w:pStyle w:val="ListParagraph"/>
        <w:numPr>
          <w:ilvl w:val="0"/>
          <w:numId w:val="1"/>
        </w:numPr>
        <w:rPr>
          <w:rFonts w:ascii="Arial" w:hAnsi="Arial" w:cs="Arial"/>
        </w:rPr>
      </w:pPr>
      <w:r>
        <w:rPr>
          <w:rFonts w:ascii="Arial" w:hAnsi="Arial" w:cs="Arial"/>
        </w:rPr>
        <w:t>Chatham Town Centre and Public Realm Package (£4m LGF)</w:t>
      </w:r>
    </w:p>
    <w:p w:rsidR="00FE25AB" w:rsidRDefault="00FE25AB">
      <w:pPr>
        <w:pStyle w:val="ListParagraph"/>
        <w:numPr>
          <w:ilvl w:val="0"/>
          <w:numId w:val="1"/>
        </w:numPr>
        <w:rPr>
          <w:rFonts w:ascii="Arial" w:hAnsi="Arial" w:cs="Arial"/>
        </w:rPr>
      </w:pPr>
      <w:r>
        <w:rPr>
          <w:rFonts w:ascii="Arial" w:hAnsi="Arial" w:cs="Arial"/>
        </w:rPr>
        <w:t>A289 Four Elms Roundabout to Medway Tunnel Journey Time and Network Improvements (£11.1m LGF)</w:t>
      </w:r>
    </w:p>
    <w:p w:rsidR="00FE25AB" w:rsidRDefault="00FE25AB">
      <w:pPr>
        <w:pStyle w:val="ListParagraph"/>
        <w:numPr>
          <w:ilvl w:val="0"/>
          <w:numId w:val="1"/>
        </w:numPr>
        <w:rPr>
          <w:rFonts w:ascii="Arial" w:hAnsi="Arial" w:cs="Arial"/>
        </w:rPr>
      </w:pPr>
      <w:r>
        <w:rPr>
          <w:rFonts w:ascii="Arial" w:hAnsi="Arial" w:cs="Arial"/>
        </w:rPr>
        <w:t>Medway City Estate Connectivity Improvement Measures (£2.0m LGF)</w:t>
      </w:r>
    </w:p>
    <w:p w:rsidR="00FE25AB" w:rsidRDefault="00FE25AB">
      <w:pPr>
        <w:pStyle w:val="ListParagraph"/>
        <w:numPr>
          <w:ilvl w:val="0"/>
          <w:numId w:val="1"/>
        </w:numPr>
        <w:rPr>
          <w:rFonts w:ascii="Arial" w:hAnsi="Arial" w:cs="Arial"/>
        </w:rPr>
      </w:pPr>
      <w:r>
        <w:rPr>
          <w:rFonts w:ascii="Arial" w:hAnsi="Arial" w:cs="Arial"/>
        </w:rPr>
        <w:t xml:space="preserve">Medway Cycling Action Plan (£2.5m LGF) </w:t>
      </w:r>
    </w:p>
    <w:p w:rsidR="00FE25AB" w:rsidRDefault="00FE25AB">
      <w:pPr>
        <w:pStyle w:val="ListParagraph"/>
        <w:numPr>
          <w:ilvl w:val="0"/>
          <w:numId w:val="1"/>
        </w:numPr>
        <w:rPr>
          <w:rFonts w:ascii="Arial" w:hAnsi="Arial" w:cs="Arial"/>
        </w:rPr>
      </w:pPr>
      <w:proofErr w:type="spellStart"/>
      <w:r>
        <w:rPr>
          <w:rFonts w:ascii="Arial" w:hAnsi="Arial" w:cs="Arial"/>
        </w:rPr>
        <w:t>Strood</w:t>
      </w:r>
      <w:proofErr w:type="spellEnd"/>
      <w:r>
        <w:rPr>
          <w:rFonts w:ascii="Arial" w:hAnsi="Arial" w:cs="Arial"/>
        </w:rPr>
        <w:t xml:space="preserve"> Town Centre Journey Time and Accessibility Enhancements (£9.0m LGF -  provisional allocation)</w:t>
      </w:r>
    </w:p>
    <w:p w:rsidR="00FE25AB" w:rsidRDefault="00FE25AB">
      <w:pPr>
        <w:rPr>
          <w:noProof/>
        </w:rPr>
      </w:pPr>
      <w:proofErr w:type="spellStart"/>
      <w:r>
        <w:t>DfT</w:t>
      </w:r>
      <w:proofErr w:type="spellEnd"/>
      <w:r>
        <w:t xml:space="preserve"> provisionally approved the initial SE LEP business case submission for </w:t>
      </w:r>
      <w:proofErr w:type="spellStart"/>
      <w:r>
        <w:t>Strood</w:t>
      </w:r>
      <w:proofErr w:type="spellEnd"/>
      <w:r>
        <w:t xml:space="preserve">, and </w:t>
      </w:r>
      <w:r>
        <w:rPr>
          <w:noProof/>
        </w:rPr>
        <w:t xml:space="preserve">Medway Council received a provisional allocation of £9m. This allocation was subject to an understanding that additional developer contributions of up to £2.5m could be available </w:t>
      </w:r>
    </w:p>
    <w:p w:rsidR="00FE25AB" w:rsidRDefault="00FE25AB">
      <w:pPr>
        <w:rPr>
          <w:noProof/>
        </w:rPr>
      </w:pPr>
    </w:p>
    <w:p w:rsidR="00FE25AB" w:rsidRDefault="00FE25AB">
      <w:pPr>
        <w:rPr>
          <w:noProof/>
        </w:rPr>
      </w:pPr>
      <w:r>
        <w:rPr>
          <w:noProof/>
        </w:rPr>
        <w:t xml:space="preserve">A further funding bid has been submitted for a package of station improvements at Strood and Chatham Stations. This bid proposes £3.9m investment in two high-speed rail stations, made up of 1.95m of LEP funding and 1.95m of match funding from Network Rail/Southeastern.  </w:t>
      </w:r>
    </w:p>
    <w:p w:rsidR="00FE25AB" w:rsidRDefault="00FE25AB">
      <w:pPr>
        <w:rPr>
          <w:noProof/>
        </w:rPr>
      </w:pPr>
    </w:p>
    <w:p w:rsidR="00FE25AB" w:rsidRDefault="00FE25AB">
      <w:pPr>
        <w:rPr>
          <w:noProof/>
        </w:rPr>
      </w:pPr>
      <w:r>
        <w:rPr>
          <w:noProof/>
        </w:rPr>
        <w:t>Within Strood, this funding would deliver a new station building with a  new ticket hall,  a better retail offer and a new forecourt to signficantly improve the customer experience. Network Rail has already set aside funding for this project, subject to LEP match-funding being available. Works within Strood Town Centre will connect with and complement plans for the rail station and the total LGF funding bid includes for a sum of £1.25m match funding contribution to the Strood Station proposals.</w:t>
      </w:r>
    </w:p>
    <w:p w:rsidR="00FE25AB" w:rsidRDefault="00FE25AB">
      <w:pPr>
        <w:rPr>
          <w:noProof/>
        </w:rPr>
      </w:pPr>
    </w:p>
    <w:p w:rsidR="00FE25AB" w:rsidRDefault="00FE25AB">
      <w:pPr>
        <w:pStyle w:val="Subsection"/>
      </w:pPr>
      <w:r>
        <w:br w:type="page"/>
      </w:r>
      <w:r>
        <w:lastRenderedPageBreak/>
        <w:t>1.3</w:t>
      </w:r>
      <w:r>
        <w:tab/>
        <w:t>Local context</w:t>
      </w:r>
    </w:p>
    <w:p w:rsidR="00FE25AB" w:rsidRDefault="00FE25AB"/>
    <w:p w:rsidR="00FE25AB" w:rsidRDefault="00FE25AB">
      <w:pPr>
        <w:rPr>
          <w:lang w:val="en-US"/>
        </w:rPr>
      </w:pPr>
      <w:proofErr w:type="spellStart"/>
      <w:r>
        <w:rPr>
          <w:lang w:val="en-US"/>
        </w:rPr>
        <w:t>Strood</w:t>
      </w:r>
      <w:proofErr w:type="spellEnd"/>
      <w:r>
        <w:rPr>
          <w:lang w:val="en-US"/>
        </w:rPr>
        <w:t xml:space="preserve"> lies within the Thames Gateway, a designated area for the growth of new communities, with Medway highlighted in the Delivery Plan</w:t>
      </w:r>
      <w:r>
        <w:rPr>
          <w:rStyle w:val="FootnoteReference"/>
          <w:rFonts w:ascii="Arial" w:hAnsi="Arial" w:cs="Arial"/>
          <w:lang w:val="en-US"/>
        </w:rPr>
        <w:footnoteReference w:id="1"/>
      </w:r>
      <w:r>
        <w:rPr>
          <w:lang w:val="en-US"/>
        </w:rPr>
        <w:t xml:space="preserve"> as a strategic location for investment. </w:t>
      </w:r>
    </w:p>
    <w:p w:rsidR="00FE25AB" w:rsidRDefault="00FE25AB">
      <w:pPr>
        <w:rPr>
          <w:color w:val="000000"/>
          <w:lang w:val="en-US"/>
        </w:rPr>
      </w:pPr>
    </w:p>
    <w:p w:rsidR="00FE25AB" w:rsidRDefault="00FE25AB">
      <w:pPr>
        <w:rPr>
          <w:lang w:val="en-US"/>
        </w:rPr>
      </w:pPr>
      <w:r>
        <w:rPr>
          <w:lang w:val="en-US"/>
        </w:rPr>
        <w:t>The Medway Waterfront Renaissance Strategy</w:t>
      </w:r>
      <w:r>
        <w:rPr>
          <w:rStyle w:val="FootnoteReference"/>
          <w:rFonts w:ascii="Arial" w:hAnsi="Arial" w:cs="Arial"/>
          <w:lang w:val="en-US"/>
        </w:rPr>
        <w:footnoteReference w:id="2"/>
      </w:r>
      <w:r>
        <w:rPr>
          <w:lang w:val="en-US"/>
        </w:rPr>
        <w:t xml:space="preserve"> and the Medway Regeneration Framework established several key development sites in and around </w:t>
      </w:r>
      <w:proofErr w:type="spellStart"/>
      <w:r>
        <w:rPr>
          <w:lang w:val="en-US"/>
        </w:rPr>
        <w:t>Strood</w:t>
      </w:r>
      <w:proofErr w:type="spellEnd"/>
      <w:r>
        <w:rPr>
          <w:lang w:val="en-US"/>
        </w:rPr>
        <w:t xml:space="preserve"> that will deliver new housing and employment opportunities. </w:t>
      </w:r>
    </w:p>
    <w:p w:rsidR="00FE25AB" w:rsidRDefault="00FE25AB">
      <w:pPr>
        <w:rPr>
          <w:lang w:val="en-US"/>
        </w:rPr>
      </w:pPr>
    </w:p>
    <w:p w:rsidR="00FE25AB" w:rsidRDefault="00FE25AB">
      <w:pPr>
        <w:rPr>
          <w:lang w:val="en-US"/>
        </w:rPr>
      </w:pPr>
      <w:r>
        <w:rPr>
          <w:lang w:val="en-US"/>
        </w:rPr>
        <w:t xml:space="preserve">Three of these major growth sites exist within a 10 minute walk of </w:t>
      </w:r>
      <w:proofErr w:type="spellStart"/>
      <w:r>
        <w:rPr>
          <w:lang w:val="en-US"/>
        </w:rPr>
        <w:t>Strood</w:t>
      </w:r>
      <w:proofErr w:type="spellEnd"/>
      <w:r>
        <w:rPr>
          <w:lang w:val="en-US"/>
        </w:rPr>
        <w:t xml:space="preserve"> town </w:t>
      </w:r>
      <w:proofErr w:type="spellStart"/>
      <w:r>
        <w:rPr>
          <w:lang w:val="en-US"/>
        </w:rPr>
        <w:t>centre</w:t>
      </w:r>
      <w:proofErr w:type="spellEnd"/>
      <w:r>
        <w:rPr>
          <w:lang w:val="en-US"/>
        </w:rPr>
        <w:t xml:space="preserve"> at </w:t>
      </w:r>
      <w:proofErr w:type="spellStart"/>
      <w:r>
        <w:rPr>
          <w:lang w:val="en-US"/>
        </w:rPr>
        <w:t>Strood</w:t>
      </w:r>
      <w:proofErr w:type="spellEnd"/>
      <w:r>
        <w:rPr>
          <w:lang w:val="en-US"/>
        </w:rPr>
        <w:t xml:space="preserve"> Riverside, </w:t>
      </w:r>
      <w:proofErr w:type="spellStart"/>
      <w:r>
        <w:rPr>
          <w:lang w:val="en-US"/>
        </w:rPr>
        <w:t>Strood</w:t>
      </w:r>
      <w:proofErr w:type="spellEnd"/>
      <w:r>
        <w:rPr>
          <w:lang w:val="en-US"/>
        </w:rPr>
        <w:t xml:space="preserve"> Civic Centre and Rochester Riverside (see below). In total these sites are planned to deliver 1,820 jobs and 4,160 homes. The delivery of this significant growth relies on the provision of an efficient and accessible transport network in </w:t>
      </w:r>
      <w:proofErr w:type="spellStart"/>
      <w:r>
        <w:rPr>
          <w:lang w:val="en-US"/>
        </w:rPr>
        <w:t>Strood</w:t>
      </w:r>
      <w:proofErr w:type="spellEnd"/>
      <w:r>
        <w:rPr>
          <w:lang w:val="en-US"/>
        </w:rPr>
        <w:t>.</w:t>
      </w:r>
    </w:p>
    <w:p w:rsidR="00FE25AB" w:rsidRDefault="00FE25AB"/>
    <w:p w:rsidR="00FE25AB" w:rsidRDefault="00FE25AB">
      <w:r>
        <w:t xml:space="preserve">Medway City Estate is situated approximately 1 mile north-east of </w:t>
      </w:r>
      <w:proofErr w:type="spellStart"/>
      <w:r>
        <w:t>Strood</w:t>
      </w:r>
      <w:proofErr w:type="spellEnd"/>
      <w:r>
        <w:t xml:space="preserve"> town centre. It is a major employment area in Medway, with approximately 5,000 people employed across the site. A significant proportion of traffic from Medway City Estate passes through </w:t>
      </w:r>
      <w:proofErr w:type="spellStart"/>
      <w:r>
        <w:t>Strood</w:t>
      </w:r>
      <w:proofErr w:type="spellEnd"/>
      <w:r>
        <w:t xml:space="preserve"> town centre, particularly during the evening peak. This project seeks to discourage traffic originating from Medway City Estate passing through </w:t>
      </w:r>
      <w:proofErr w:type="spellStart"/>
      <w:r>
        <w:t>Strood</w:t>
      </w:r>
      <w:proofErr w:type="spellEnd"/>
      <w:r>
        <w:t xml:space="preserve"> town centre; an aspiration which integrates with the agreed round 1 Local Growth Fund projects listed in section 1.2.</w:t>
      </w:r>
    </w:p>
    <w:p w:rsidR="00FE25AB" w:rsidRDefault="00FE25AB"/>
    <w:p w:rsidR="00FE25AB" w:rsidRDefault="00FE25AB">
      <w:r>
        <w:t xml:space="preserve">Medway Council will also be investing £4m to deliver improved flood protection to the </w:t>
      </w:r>
      <w:proofErr w:type="spellStart"/>
      <w:r>
        <w:t>Strood</w:t>
      </w:r>
      <w:proofErr w:type="spellEnd"/>
      <w:r>
        <w:t xml:space="preserve"> Riverside development site from flooding from the River Medway. This has been funded through the Public Works Loan Board.</w:t>
      </w:r>
    </w:p>
    <w:p w:rsidR="00FE25AB" w:rsidRDefault="00FE25AB">
      <w:pPr>
        <w:ind w:left="0"/>
      </w:pPr>
      <w:r>
        <w:br w:type="page"/>
      </w:r>
    </w:p>
    <w:p w:rsidR="00FE25AB" w:rsidRDefault="004D0481">
      <w:pPr>
        <w:ind w:left="0" w:firstLine="720"/>
        <w:rPr>
          <w:b/>
          <w:bCs/>
        </w:rPr>
      </w:pPr>
      <w:r>
        <w:rPr>
          <w:noProof/>
          <w:lang w:eastAsia="en-GB"/>
        </w:rPr>
        <w:pict>
          <v:group id="_x0000_s1028" style="position:absolute;left:0;text-align:left;margin-left:10.5pt;margin-top:30.65pt;width:465.65pt;height:339.45pt;z-index:251629056" coordorigin="1650,7366" coordsize="9313,6789">
            <v:shapetype id="_x0000_t202" coordsize="21600,21600" o:spt="202" path="m,l,21600r21600,l21600,xe">
              <v:stroke joinstyle="miter"/>
              <v:path gradientshapeok="t" o:connecttype="rect"/>
            </v:shapetype>
            <v:shape id="_x0000_s1029" type="#_x0000_t202" style="position:absolute;left:8601;top:11413;width:2128;height:1074" filled="f" stroked="f">
              <v:textbox style="mso-next-textbox:#_x0000_s1029">
                <w:txbxContent>
                  <w:p w:rsidR="00FE25AB" w:rsidRDefault="00FE25AB">
                    <w:pPr>
                      <w:ind w:left="0"/>
                      <w:rPr>
                        <w:b/>
                        <w:bCs/>
                        <w:sz w:val="20"/>
                        <w:szCs w:val="20"/>
                      </w:rPr>
                    </w:pPr>
                    <w:r>
                      <w:rPr>
                        <w:b/>
                        <w:bCs/>
                        <w:sz w:val="20"/>
                        <w:szCs w:val="20"/>
                      </w:rPr>
                      <w:t xml:space="preserve">Rochester Riverside – </w:t>
                    </w:r>
                    <w:r>
                      <w:rPr>
                        <w:b/>
                        <w:bCs/>
                        <w:sz w:val="18"/>
                        <w:szCs w:val="18"/>
                      </w:rPr>
                      <w:t>potential housing development site</w:t>
                    </w:r>
                  </w:p>
                </w:txbxContent>
              </v:textbox>
            </v:shape>
            <v:shape id="_x0000_s1030" type="#_x0000_t202" style="position:absolute;left:8835;top:9500;width:2128;height:1074" filled="f" stroked="f">
              <v:textbox style="mso-next-textbox:#_x0000_s1030">
                <w:txbxContent>
                  <w:p w:rsidR="00FE25AB" w:rsidRDefault="00FE25AB">
                    <w:pPr>
                      <w:ind w:left="0"/>
                      <w:rPr>
                        <w:b/>
                        <w:bCs/>
                        <w:sz w:val="20"/>
                        <w:szCs w:val="20"/>
                      </w:rPr>
                    </w:pPr>
                    <w:proofErr w:type="spellStart"/>
                    <w:r>
                      <w:rPr>
                        <w:b/>
                        <w:bCs/>
                        <w:sz w:val="20"/>
                        <w:szCs w:val="20"/>
                      </w:rPr>
                      <w:t>Strood</w:t>
                    </w:r>
                    <w:proofErr w:type="spellEnd"/>
                    <w:r>
                      <w:rPr>
                        <w:b/>
                        <w:bCs/>
                        <w:sz w:val="20"/>
                        <w:szCs w:val="20"/>
                      </w:rPr>
                      <w:t xml:space="preserve"> Riverside – </w:t>
                    </w:r>
                    <w:r>
                      <w:rPr>
                        <w:b/>
                        <w:bCs/>
                        <w:sz w:val="18"/>
                        <w:szCs w:val="18"/>
                      </w:rPr>
                      <w:t>potential housing development site</w:t>
                    </w:r>
                  </w:p>
                </w:txbxContent>
              </v:textbox>
            </v:shape>
            <v:shape id="_x0000_s1031" type="#_x0000_t202" style="position:absolute;left:5694;top:12803;width:2128;height:1074" filled="f" stroked="f">
              <v:textbox style="mso-next-textbox:#_x0000_s1031">
                <w:txbxContent>
                  <w:p w:rsidR="00FE25AB" w:rsidRDefault="00FE25AB">
                    <w:pPr>
                      <w:ind w:left="0"/>
                      <w:rPr>
                        <w:b/>
                        <w:bCs/>
                        <w:sz w:val="20"/>
                        <w:szCs w:val="20"/>
                      </w:rPr>
                    </w:pPr>
                    <w:r>
                      <w:rPr>
                        <w:b/>
                        <w:bCs/>
                        <w:sz w:val="20"/>
                        <w:szCs w:val="20"/>
                      </w:rPr>
                      <w:t xml:space="preserve">Civic Centre – </w:t>
                    </w:r>
                    <w:r>
                      <w:rPr>
                        <w:b/>
                        <w:bCs/>
                        <w:sz w:val="18"/>
                        <w:szCs w:val="18"/>
                      </w:rPr>
                      <w:t>potential housing development site</w:t>
                    </w:r>
                  </w:p>
                </w:txbxContent>
              </v:textbox>
            </v:shape>
            <v:shape id="_x0000_s1032" type="#_x0000_t202" style="position:absolute;left:1935;top:13081;width:2337;height:1074" filled="f" stroked="f">
              <v:textbox style="mso-next-textbox:#_x0000_s1032">
                <w:txbxContent>
                  <w:p w:rsidR="00FE25AB" w:rsidRDefault="00FE25AB">
                    <w:pPr>
                      <w:ind w:left="0"/>
                      <w:rPr>
                        <w:b/>
                        <w:bCs/>
                        <w:sz w:val="20"/>
                        <w:szCs w:val="20"/>
                      </w:rPr>
                    </w:pPr>
                    <w:r>
                      <w:rPr>
                        <w:b/>
                        <w:bCs/>
                        <w:sz w:val="20"/>
                        <w:szCs w:val="20"/>
                      </w:rPr>
                      <w:t xml:space="preserve">Alloy Wheels Site - </w:t>
                    </w:r>
                    <w:r>
                      <w:rPr>
                        <w:b/>
                        <w:bCs/>
                        <w:sz w:val="18"/>
                        <w:szCs w:val="18"/>
                      </w:rPr>
                      <w:t>Potential employment growth area</w:t>
                    </w:r>
                  </w:p>
                </w:txbxContent>
              </v:textbox>
            </v:shape>
            <v:shape id="_x0000_s1033" type="#_x0000_t202" style="position:absolute;left:8832;top:7555;width:2128;height:1074" filled="f" stroked="f">
              <v:textbox style="mso-next-textbox:#_x0000_s1033">
                <w:txbxContent>
                  <w:p w:rsidR="00FE25AB" w:rsidRDefault="00FE25AB">
                    <w:pPr>
                      <w:ind w:left="0"/>
                      <w:rPr>
                        <w:b/>
                        <w:bCs/>
                        <w:sz w:val="20"/>
                        <w:szCs w:val="20"/>
                      </w:rPr>
                    </w:pPr>
                    <w:r>
                      <w:rPr>
                        <w:b/>
                        <w:bCs/>
                        <w:sz w:val="20"/>
                        <w:szCs w:val="20"/>
                      </w:rPr>
                      <w:t xml:space="preserve">Existing </w:t>
                    </w:r>
                  </w:p>
                  <w:p w:rsidR="00FE25AB" w:rsidRDefault="00FE25AB">
                    <w:pPr>
                      <w:ind w:left="0"/>
                      <w:rPr>
                        <w:b/>
                        <w:bCs/>
                        <w:sz w:val="20"/>
                        <w:szCs w:val="20"/>
                      </w:rPr>
                    </w:pPr>
                    <w:r>
                      <w:rPr>
                        <w:b/>
                        <w:bCs/>
                        <w:sz w:val="20"/>
                        <w:szCs w:val="20"/>
                      </w:rPr>
                      <w:t>Medway City Estate</w:t>
                    </w:r>
                  </w:p>
                </w:txbxContent>
              </v:textbox>
            </v:shape>
            <v:shape id="_x0000_s1034" type="#_x0000_t202" style="position:absolute;left:4742;top:11152;width:1667;height:1074" filled="f" stroked="f">
              <v:textbox style="mso-next-textbox:#_x0000_s1034">
                <w:txbxContent>
                  <w:p w:rsidR="00FE25AB" w:rsidRDefault="00FE25AB">
                    <w:pPr>
                      <w:ind w:left="0"/>
                      <w:rPr>
                        <w:b/>
                        <w:bCs/>
                        <w:sz w:val="20"/>
                        <w:szCs w:val="20"/>
                      </w:rPr>
                    </w:pPr>
                    <w:r>
                      <w:rPr>
                        <w:b/>
                        <w:bCs/>
                        <w:sz w:val="20"/>
                        <w:szCs w:val="20"/>
                      </w:rPr>
                      <w:t>Town Centre</w:t>
                    </w:r>
                  </w:p>
                  <w:p w:rsidR="00FE25AB" w:rsidRDefault="00FE25AB">
                    <w:pPr>
                      <w:ind w:left="0"/>
                      <w:rPr>
                        <w:b/>
                        <w:bCs/>
                        <w:sz w:val="20"/>
                        <w:szCs w:val="20"/>
                      </w:rPr>
                    </w:pPr>
                    <w:r>
                      <w:rPr>
                        <w:b/>
                        <w:bCs/>
                        <w:sz w:val="20"/>
                        <w:szCs w:val="20"/>
                      </w:rPr>
                      <w:t xml:space="preserve">Retail </w:t>
                    </w:r>
                  </w:p>
                  <w:p w:rsidR="00FE25AB" w:rsidRDefault="00FE25AB">
                    <w:pPr>
                      <w:ind w:left="0"/>
                      <w:rPr>
                        <w:b/>
                        <w:bCs/>
                        <w:sz w:val="20"/>
                        <w:szCs w:val="20"/>
                      </w:rPr>
                    </w:pPr>
                    <w:r>
                      <w:rPr>
                        <w:b/>
                        <w:bCs/>
                        <w:sz w:val="20"/>
                        <w:szCs w:val="20"/>
                      </w:rPr>
                      <w:t>Area</w:t>
                    </w:r>
                  </w:p>
                </w:txbxContent>
              </v:textbox>
            </v:shape>
            <v:shape id="_x0000_s1035" type="#_x0000_t202" style="position:absolute;left:4818;top:10041;width:1409;height:1074" filled="f" stroked="f">
              <v:textbox style="mso-next-textbox:#_x0000_s1035">
                <w:txbxContent>
                  <w:p w:rsidR="00FE25AB" w:rsidRDefault="00FE25AB">
                    <w:pPr>
                      <w:ind w:left="0"/>
                      <w:rPr>
                        <w:b/>
                        <w:bCs/>
                        <w:sz w:val="20"/>
                        <w:szCs w:val="20"/>
                      </w:rPr>
                    </w:pPr>
                    <w:r>
                      <w:rPr>
                        <w:b/>
                        <w:bCs/>
                        <w:sz w:val="20"/>
                        <w:szCs w:val="20"/>
                      </w:rPr>
                      <w:t>Town Centre</w:t>
                    </w:r>
                  </w:p>
                </w:txbxContent>
              </v:textbox>
            </v:shape>
            <v:shape id="_x0000_s1036" type="#_x0000_t202" style="position:absolute;left:3945;top:8706;width:1304;height:355" fillcolor="#f8f8f8" stroked="f">
              <v:fill opacity="26214f"/>
              <v:textbox style="mso-next-textbox:#_x0000_s1036">
                <w:txbxContent>
                  <w:p w:rsidR="00FE25AB" w:rsidRDefault="00FE25AB">
                    <w:pPr>
                      <w:ind w:left="0"/>
                      <w:jc w:val="right"/>
                      <w:rPr>
                        <w:b/>
                        <w:bCs/>
                        <w:sz w:val="16"/>
                        <w:szCs w:val="16"/>
                      </w:rPr>
                    </w:pPr>
                    <w:r>
                      <w:rPr>
                        <w:b/>
                        <w:bCs/>
                        <w:sz w:val="16"/>
                        <w:szCs w:val="16"/>
                      </w:rPr>
                      <w:t>Major Roads</w:t>
                    </w:r>
                  </w:p>
                </w:txbxContent>
              </v:textbox>
            </v:shape>
            <v:shapetype id="_x0000_t32" coordsize="21600,21600" o:spt="32" o:oned="t" path="m,l21600,21600e" filled="f">
              <v:path arrowok="t" fillok="f" o:connecttype="none"/>
              <o:lock v:ext="edit" shapetype="t"/>
            </v:shapetype>
            <v:shape id="_x0000_s1037" type="#_x0000_t32" style="position:absolute;left:5147;top:8866;width:323;height:21" o:connectortype="straight">
              <v:stroke endarrow="block"/>
            </v:shape>
            <v:shape id="_x0000_s1038" type="#_x0000_t202" style="position:absolute;left:2568;top:10041;width:1090;height:566" stroked="f">
              <v:fill opacity="26214f"/>
              <v:textbox style="mso-next-textbox:#_x0000_s1038">
                <w:txbxContent>
                  <w:p w:rsidR="00FE25AB" w:rsidRDefault="00FE25AB">
                    <w:pPr>
                      <w:ind w:left="0"/>
                      <w:jc w:val="right"/>
                      <w:rPr>
                        <w:b/>
                        <w:bCs/>
                        <w:sz w:val="16"/>
                        <w:szCs w:val="16"/>
                      </w:rPr>
                    </w:pPr>
                    <w:r>
                      <w:rPr>
                        <w:b/>
                        <w:bCs/>
                        <w:sz w:val="16"/>
                        <w:szCs w:val="16"/>
                      </w:rPr>
                      <w:t xml:space="preserve">Major </w:t>
                    </w:r>
                  </w:p>
                  <w:p w:rsidR="00FE25AB" w:rsidRDefault="00FE25AB">
                    <w:pPr>
                      <w:ind w:left="0"/>
                      <w:jc w:val="right"/>
                      <w:rPr>
                        <w:b/>
                        <w:bCs/>
                        <w:sz w:val="20"/>
                        <w:szCs w:val="20"/>
                      </w:rPr>
                    </w:pPr>
                    <w:r>
                      <w:rPr>
                        <w:b/>
                        <w:bCs/>
                        <w:sz w:val="16"/>
                        <w:szCs w:val="16"/>
                      </w:rPr>
                      <w:t>Junctions</w:t>
                    </w:r>
                  </w:p>
                </w:txbxContent>
              </v:textbox>
            </v:shape>
            <v:shape id="_x0000_s1039" type="#_x0000_t32" style="position:absolute;left:3589;top:10278;width:323;height:21" o:connectortype="straight">
              <v:stroke endarrow="block"/>
            </v:shape>
            <v:shape id="_x0000_s1040" type="#_x0000_t202" style="position:absolute;left:8499;top:10607;width:1495;height:541" fillcolor="#f8f8f8" stroked="f">
              <v:fill opacity="26214f"/>
              <v:textbox style="mso-next-textbox:#_x0000_s1040">
                <w:txbxContent>
                  <w:p w:rsidR="00FE25AB" w:rsidRDefault="00FE25AB">
                    <w:pPr>
                      <w:ind w:left="0"/>
                      <w:rPr>
                        <w:b/>
                        <w:bCs/>
                        <w:sz w:val="16"/>
                        <w:szCs w:val="16"/>
                      </w:rPr>
                    </w:pPr>
                    <w:r>
                      <w:rPr>
                        <w:b/>
                        <w:bCs/>
                        <w:sz w:val="16"/>
                        <w:szCs w:val="16"/>
                      </w:rPr>
                      <w:t>Existing cycle infrastructure</w:t>
                    </w:r>
                  </w:p>
                </w:txbxContent>
              </v:textbox>
            </v:shape>
            <v:shape id="_x0000_s1041" type="#_x0000_t32" style="position:absolute;left:8275;top:10574;width:224;height:194;flip:x y" o:connectortype="straight">
              <v:stroke endarrow="block"/>
            </v:shape>
            <v:shape id="_x0000_s1042" type="#_x0000_t32" style="position:absolute;left:8275;top:9608;width:386;height:64;flip:x y" o:connectortype="straight">
              <v:stroke endarrow="block"/>
            </v:shape>
            <v:shape id="_x0000_s1043" type="#_x0000_t32" style="position:absolute;left:6469;top:12487;width:118;height:316;flip:y" o:connectortype="straight">
              <v:stroke endarrow="block"/>
            </v:shape>
            <v:shape id="_x0000_s1044" type="#_x0000_t32" style="position:absolute;left:9424;top:12433;width:172;height:201" o:connectortype="straight">
              <v:stroke endarrow="block"/>
            </v:shape>
            <v:shape id="_x0000_s1045" type="#_x0000_t32" style="position:absolute;left:9747;top:8221;width:688;height:64" o:connectortype="straight">
              <v:stroke endarrow="block"/>
            </v:shape>
            <v:shape id="_x0000_s1046" type="#_x0000_t202" style="position:absolute;left:6015;top:9424;width:1304;height:355" fillcolor="#f8f8f8" stroked="f">
              <v:fill opacity="26214f"/>
              <v:textbox style="mso-next-textbox:#_x0000_s1046">
                <w:txbxContent>
                  <w:p w:rsidR="00FE25AB" w:rsidRDefault="00FE25AB">
                    <w:pPr>
                      <w:ind w:left="0"/>
                      <w:jc w:val="right"/>
                      <w:rPr>
                        <w:b/>
                        <w:bCs/>
                        <w:sz w:val="16"/>
                        <w:szCs w:val="16"/>
                      </w:rPr>
                    </w:pPr>
                    <w:r>
                      <w:rPr>
                        <w:b/>
                        <w:bCs/>
                        <w:sz w:val="16"/>
                        <w:szCs w:val="16"/>
                      </w:rPr>
                      <w:t>Rail Station</w:t>
                    </w:r>
                  </w:p>
                </w:txbxContent>
              </v:textbox>
            </v:shape>
            <v:shape id="_x0000_s1047" type="#_x0000_t32" style="position:absolute;left:7217;top:9584;width:323;height:21" o:connectortype="straight">
              <v:stroke endarrow="block"/>
            </v:shape>
            <v:shape id="_x0000_s1048" type="#_x0000_t202" style="position:absolute;left:1650;top:7366;width:3599;height:764" filled="f" stroked="f">
              <v:textbox style="mso-next-textbox:#_x0000_s1048">
                <w:txbxContent>
                  <w:p w:rsidR="00FE25AB" w:rsidRDefault="00FE25AB">
                    <w:pPr>
                      <w:shd w:val="clear" w:color="auto" w:fill="FFFFFF"/>
                      <w:ind w:left="0"/>
                      <w:rPr>
                        <w:b/>
                        <w:bCs/>
                      </w:rPr>
                    </w:pPr>
                    <w:proofErr w:type="spellStart"/>
                    <w:r>
                      <w:rPr>
                        <w:b/>
                        <w:bCs/>
                      </w:rPr>
                      <w:t>Strood</w:t>
                    </w:r>
                    <w:proofErr w:type="spellEnd"/>
                    <w:r>
                      <w:rPr>
                        <w:b/>
                        <w:bCs/>
                      </w:rPr>
                      <w:t xml:space="preserve"> – development growth areas and transportation links</w:t>
                    </w:r>
                  </w:p>
                </w:txbxContent>
              </v:textbox>
            </v:shape>
          </v:group>
        </w:pict>
      </w:r>
      <w:proofErr w:type="spellStart"/>
      <w:r w:rsidR="00FE25AB">
        <w:rPr>
          <w:b/>
          <w:bCs/>
        </w:rPr>
        <w:t>Strood</w:t>
      </w:r>
      <w:proofErr w:type="spellEnd"/>
      <w:r w:rsidR="00FE25AB">
        <w:rPr>
          <w:b/>
          <w:bCs/>
        </w:rPr>
        <w:t xml:space="preserve"> Town Centre </w:t>
      </w:r>
    </w:p>
    <w:p w:rsidR="00FE25AB" w:rsidRDefault="00FE25AB">
      <w:pPr>
        <w:ind w:left="0"/>
      </w:pPr>
    </w:p>
    <w:p w:rsidR="00FE25AB" w:rsidRDefault="004D0481">
      <w:pPr>
        <w:pStyle w:val="Subsection"/>
      </w:pPr>
      <w:r>
        <w:rPr>
          <w:noProof/>
          <w:lang w:eastAsia="en-GB"/>
        </w:rPr>
        <w:pict>
          <v:shape id="Picture 10" o:spid="_x0000_s1049" type="#_x0000_t75" style="position:absolute;margin-left:1.5pt;margin-top:-.25pt;width:466.5pt;height:340.65pt;z-index:251623936;visibility:visible">
            <v:imagedata r:id="rId10" o:title=""/>
            <w10:wrap type="square"/>
          </v:shape>
        </w:pict>
      </w:r>
      <w:r w:rsidR="00FE25AB">
        <w:t>1.4</w:t>
      </w:r>
      <w:r w:rsidR="00FE25AB">
        <w:tab/>
        <w:t>Scheme Description</w:t>
      </w:r>
    </w:p>
    <w:p w:rsidR="00FE25AB" w:rsidRDefault="00FE25AB"/>
    <w:p w:rsidR="00FE25AB" w:rsidRDefault="00FE25AB">
      <w:r>
        <w:t xml:space="preserve">The proposals seek to achieve a balance between improving local capacity to encourage growth, without encouraging trip diversion from the more strategic highway network to through </w:t>
      </w:r>
      <w:proofErr w:type="spellStart"/>
      <w:r>
        <w:t>Strood</w:t>
      </w:r>
      <w:proofErr w:type="spellEnd"/>
      <w:r>
        <w:t xml:space="preserve"> town centre. In addition, the network needs to maintain accessibility to promote employment in the Retail Park, High Street and local supermarkets.</w:t>
      </w:r>
    </w:p>
    <w:p w:rsidR="00FE25AB" w:rsidRDefault="00FE25AB"/>
    <w:p w:rsidR="00FE25AB" w:rsidRDefault="00FE25AB">
      <w:r>
        <w:t xml:space="preserve">Another key element for town centre growth and regeneration is the need to renew and refresh the urban realm and retail environment. This will create a feeling of place by delivering an attractive central hub for the town. By linking these improvements to a package of traffic management and accessibility measures the housing growth and employment opportunities within </w:t>
      </w:r>
      <w:proofErr w:type="spellStart"/>
      <w:r>
        <w:t>Strood</w:t>
      </w:r>
      <w:proofErr w:type="spellEnd"/>
      <w:r>
        <w:t xml:space="preserve"> will be underpinned by a local, sustainable retail centre.</w:t>
      </w:r>
    </w:p>
    <w:p w:rsidR="00FE25AB" w:rsidRDefault="00FE25AB"/>
    <w:p w:rsidR="00FE25AB" w:rsidRDefault="00FE25AB">
      <w:pPr>
        <w:autoSpaceDE w:val="0"/>
        <w:autoSpaceDN w:val="0"/>
        <w:adjustRightInd w:val="0"/>
      </w:pPr>
      <w:r>
        <w:t xml:space="preserve">A number of interventions are therefore proposed to address the issue of poor journey times, along with improvements to pedestrian accessibility, new cycle facilities and urban realm enhancement. </w:t>
      </w:r>
    </w:p>
    <w:p w:rsidR="00FE25AB" w:rsidRDefault="00FE25AB">
      <w:pPr>
        <w:autoSpaceDE w:val="0"/>
        <w:autoSpaceDN w:val="0"/>
        <w:adjustRightInd w:val="0"/>
      </w:pPr>
    </w:p>
    <w:p w:rsidR="00FE25AB" w:rsidRDefault="00FE25AB">
      <w:pPr>
        <w:autoSpaceDE w:val="0"/>
        <w:autoSpaceDN w:val="0"/>
        <w:adjustRightInd w:val="0"/>
      </w:pPr>
      <w:r>
        <w:t xml:space="preserve">The scheme will deliver a holistic package of improvement measures within </w:t>
      </w:r>
      <w:proofErr w:type="spellStart"/>
      <w:r>
        <w:t>Strood</w:t>
      </w:r>
      <w:proofErr w:type="spellEnd"/>
      <w:r>
        <w:t xml:space="preserve"> that will also include measures to unlock and facilitate access to major new housing development areas within the town centre area. The types of measure proposed have been categorised as follows:</w:t>
      </w:r>
    </w:p>
    <w:p w:rsidR="00FE25AB" w:rsidRDefault="00FE25AB">
      <w:pPr>
        <w:numPr>
          <w:ilvl w:val="0"/>
          <w:numId w:val="2"/>
        </w:numPr>
        <w:autoSpaceDE w:val="0"/>
        <w:autoSpaceDN w:val="0"/>
        <w:adjustRightInd w:val="0"/>
        <w:ind w:left="1440"/>
        <w:rPr>
          <w:rFonts w:ascii="GillSans" w:hAnsi="GillSans" w:cs="GillSans"/>
        </w:rPr>
      </w:pPr>
      <w:r>
        <w:rPr>
          <w:rFonts w:ascii="GillSans" w:hAnsi="GillSans" w:cs="GillSans"/>
        </w:rPr>
        <w:t>Town Centre traffic management improvement measures</w:t>
      </w:r>
      <w:r>
        <w:rPr>
          <w:rFonts w:ascii="GillSans" w:hAnsi="GillSans" w:cs="GillSans"/>
        </w:rPr>
        <w:tab/>
      </w:r>
      <w:r>
        <w:rPr>
          <w:rFonts w:ascii="GillSans" w:hAnsi="GillSans" w:cs="GillSans"/>
        </w:rPr>
        <w:tab/>
      </w:r>
    </w:p>
    <w:p w:rsidR="00FE25AB" w:rsidRDefault="00FE25AB">
      <w:pPr>
        <w:numPr>
          <w:ilvl w:val="0"/>
          <w:numId w:val="2"/>
        </w:numPr>
        <w:autoSpaceDE w:val="0"/>
        <w:autoSpaceDN w:val="0"/>
        <w:adjustRightInd w:val="0"/>
        <w:ind w:left="1440"/>
        <w:rPr>
          <w:rFonts w:ascii="GillSans" w:hAnsi="GillSans" w:cs="GillSans"/>
        </w:rPr>
      </w:pPr>
      <w:r>
        <w:rPr>
          <w:rFonts w:ascii="GillSans" w:hAnsi="GillSans" w:cs="GillSans"/>
        </w:rPr>
        <w:lastRenderedPageBreak/>
        <w:t>Pedestrian accessibility throughout town centre</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p>
    <w:p w:rsidR="00FE25AB" w:rsidRDefault="00FE25AB">
      <w:pPr>
        <w:numPr>
          <w:ilvl w:val="0"/>
          <w:numId w:val="2"/>
        </w:numPr>
        <w:autoSpaceDE w:val="0"/>
        <w:autoSpaceDN w:val="0"/>
        <w:adjustRightInd w:val="0"/>
        <w:ind w:left="1440"/>
        <w:rPr>
          <w:rFonts w:ascii="GillSans" w:hAnsi="GillSans" w:cs="GillSans"/>
        </w:rPr>
      </w:pPr>
      <w:r>
        <w:rPr>
          <w:rFonts w:ascii="GillSans" w:hAnsi="GillSans" w:cs="GillSans"/>
        </w:rPr>
        <w:t>Cyclist accessibility throughout town centre</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p>
    <w:p w:rsidR="00FE25AB" w:rsidRDefault="00FE25AB">
      <w:pPr>
        <w:numPr>
          <w:ilvl w:val="0"/>
          <w:numId w:val="2"/>
        </w:numPr>
        <w:autoSpaceDE w:val="0"/>
        <w:autoSpaceDN w:val="0"/>
        <w:adjustRightInd w:val="0"/>
        <w:ind w:left="1440"/>
        <w:rPr>
          <w:rFonts w:ascii="GillSans" w:hAnsi="GillSans" w:cs="GillSans"/>
        </w:rPr>
      </w:pPr>
      <w:r>
        <w:rPr>
          <w:rFonts w:ascii="GillSans" w:hAnsi="GillSans" w:cs="GillSans"/>
        </w:rPr>
        <w:t>Public realm improvements</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p>
    <w:p w:rsidR="00FE25AB" w:rsidRDefault="00FE25AB">
      <w:pPr>
        <w:numPr>
          <w:ilvl w:val="0"/>
          <w:numId w:val="2"/>
        </w:numPr>
        <w:autoSpaceDE w:val="0"/>
        <w:autoSpaceDN w:val="0"/>
        <w:adjustRightInd w:val="0"/>
        <w:ind w:left="1440"/>
        <w:rPr>
          <w:rFonts w:ascii="GillSans" w:hAnsi="GillSans" w:cs="GillSans"/>
        </w:rPr>
      </w:pPr>
      <w:r>
        <w:rPr>
          <w:rFonts w:ascii="GillSans" w:hAnsi="GillSans" w:cs="GillSans"/>
        </w:rPr>
        <w:t>Improving retail offer</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p>
    <w:p w:rsidR="00FE25AB" w:rsidRDefault="00FE25AB">
      <w:pPr>
        <w:numPr>
          <w:ilvl w:val="0"/>
          <w:numId w:val="2"/>
        </w:numPr>
        <w:autoSpaceDE w:val="0"/>
        <w:autoSpaceDN w:val="0"/>
        <w:adjustRightInd w:val="0"/>
        <w:ind w:left="1440"/>
        <w:rPr>
          <w:rFonts w:ascii="GillSans" w:hAnsi="GillSans" w:cs="GillSans"/>
        </w:rPr>
      </w:pPr>
      <w:r>
        <w:rPr>
          <w:rFonts w:ascii="GillSans" w:hAnsi="GillSans" w:cs="GillSans"/>
        </w:rPr>
        <w:t>Unlocking development sites / sustainable access to businesses</w:t>
      </w:r>
      <w:r>
        <w:rPr>
          <w:rFonts w:ascii="GillSans" w:hAnsi="GillSans" w:cs="GillSans"/>
        </w:rPr>
        <w:tab/>
      </w:r>
    </w:p>
    <w:p w:rsidR="00FE25AB" w:rsidRDefault="00FE25AB">
      <w:pPr>
        <w:numPr>
          <w:ilvl w:val="0"/>
          <w:numId w:val="2"/>
        </w:numPr>
        <w:autoSpaceDE w:val="0"/>
        <w:autoSpaceDN w:val="0"/>
        <w:adjustRightInd w:val="0"/>
        <w:ind w:left="1440"/>
        <w:rPr>
          <w:rFonts w:ascii="GillSans" w:hAnsi="GillSans" w:cs="GillSans"/>
        </w:rPr>
      </w:pPr>
      <w:r>
        <w:rPr>
          <w:rFonts w:ascii="GillSans" w:hAnsi="GillSans" w:cs="GillSans"/>
          <w:i/>
          <w:iCs/>
        </w:rPr>
        <w:t>Developer funding to unlock development sites and facilitate access*</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p>
    <w:p w:rsidR="00FE25AB" w:rsidRDefault="00FE25AB">
      <w:pPr>
        <w:autoSpaceDE w:val="0"/>
        <w:autoSpaceDN w:val="0"/>
        <w:adjustRightInd w:val="0"/>
        <w:ind w:left="1080"/>
        <w:rPr>
          <w:rFonts w:ascii="GillSans" w:hAnsi="GillSans" w:cs="GillSans"/>
        </w:rPr>
      </w:pPr>
      <w:r>
        <w:rPr>
          <w:rFonts w:ascii="GillSans" w:hAnsi="GillSans" w:cs="GillSans"/>
        </w:rPr>
        <w:t>*These scheme elements will be developer funded and do not, therefore, form part of the LGF bid.</w:t>
      </w:r>
    </w:p>
    <w:p w:rsidR="00FE25AB" w:rsidRDefault="00FE25AB">
      <w:pPr>
        <w:autoSpaceDE w:val="0"/>
        <w:autoSpaceDN w:val="0"/>
        <w:adjustRightInd w:val="0"/>
      </w:pPr>
    </w:p>
    <w:p w:rsidR="00FE25AB" w:rsidRDefault="00FE25AB">
      <w:pPr>
        <w:autoSpaceDE w:val="0"/>
        <w:autoSpaceDN w:val="0"/>
        <w:adjustRightInd w:val="0"/>
      </w:pPr>
      <w:r>
        <w:t>A series of interventions are proposed within these categories, forming an integrated package of traffic management measures and network improvements</w:t>
      </w:r>
      <w:r>
        <w:rPr>
          <w:b/>
          <w:bCs/>
        </w:rPr>
        <w:t>. Appendix A</w:t>
      </w:r>
      <w:r>
        <w:t xml:space="preserve"> provides a list of all the proposed scheme elements and associated budget cost estimates.</w:t>
      </w:r>
    </w:p>
    <w:p w:rsidR="00FE25AB" w:rsidRDefault="00FE25AB">
      <w:pPr>
        <w:autoSpaceDE w:val="0"/>
        <w:autoSpaceDN w:val="0"/>
        <w:adjustRightInd w:val="0"/>
      </w:pPr>
    </w:p>
    <w:p w:rsidR="00FE25AB" w:rsidRDefault="00FE25AB">
      <w:pPr>
        <w:autoSpaceDE w:val="0"/>
        <w:autoSpaceDN w:val="0"/>
        <w:adjustRightInd w:val="0"/>
        <w:ind w:left="0"/>
        <w:rPr>
          <w:b/>
          <w:bCs/>
          <w:i/>
          <w:iCs/>
        </w:rPr>
      </w:pPr>
      <w:r>
        <w:rPr>
          <w:b/>
          <w:bCs/>
          <w:i/>
          <w:iCs/>
        </w:rPr>
        <w:t>1.4.1</w:t>
      </w:r>
      <w:r>
        <w:rPr>
          <w:b/>
          <w:bCs/>
          <w:i/>
          <w:iCs/>
        </w:rPr>
        <w:tab/>
        <w:t>Traffic Management - Improving Journey Times</w:t>
      </w:r>
    </w:p>
    <w:p w:rsidR="00FE25AB" w:rsidRDefault="00FE25AB">
      <w:pPr>
        <w:autoSpaceDE w:val="0"/>
        <w:autoSpaceDN w:val="0"/>
        <w:adjustRightInd w:val="0"/>
      </w:pPr>
    </w:p>
    <w:p w:rsidR="00FE25AB" w:rsidRDefault="00FE25AB">
      <w:pPr>
        <w:autoSpaceDE w:val="0"/>
        <w:autoSpaceDN w:val="0"/>
        <w:adjustRightInd w:val="0"/>
      </w:pPr>
      <w:r>
        <w:t xml:space="preserve">The traffic management measures proposed include measures to expand and review the urban traffic management and control systems within </w:t>
      </w:r>
      <w:proofErr w:type="spellStart"/>
      <w:r>
        <w:t>Strood</w:t>
      </w:r>
      <w:proofErr w:type="spellEnd"/>
      <w:r>
        <w:t xml:space="preserve">, which are currently, managed using the SCOOT UTMC system. It is proposed to expand SCOOT to cover a wider town centre network, as well as utilising the system to manage and control in-bound flows to the town centre, preventing queues building and adjusting signal timings in real time to prevent more traffic being allowed to enter stationary links. This system would be supported by enhanced real-time variable message signing. </w:t>
      </w:r>
    </w:p>
    <w:p w:rsidR="00FE25AB" w:rsidRDefault="00FE25AB">
      <w:pPr>
        <w:autoSpaceDE w:val="0"/>
        <w:autoSpaceDN w:val="0"/>
        <w:adjustRightInd w:val="0"/>
      </w:pPr>
    </w:p>
    <w:p w:rsidR="00FE25AB" w:rsidRDefault="00FE25AB">
      <w:pPr>
        <w:autoSpaceDE w:val="0"/>
        <w:autoSpaceDN w:val="0"/>
        <w:adjustRightInd w:val="0"/>
      </w:pPr>
      <w:r>
        <w:t>Improved congestion control and queue management in association with driver messaging will reduce congestion levels in the busy town centre area, improving journey times and air quality. In addition, this system would be linked to existing bus detection systems and bus stop information displays to provide priority to late running buses; thereby reducing journey times and improving information provision for public transport users. New and upgraded bus stops are also proposed throughout the town centre, at surrounding development sites and at key interchanges.</w:t>
      </w:r>
    </w:p>
    <w:p w:rsidR="00FE25AB" w:rsidRDefault="00FE25AB">
      <w:pPr>
        <w:autoSpaceDE w:val="0"/>
        <w:autoSpaceDN w:val="0"/>
        <w:adjustRightInd w:val="0"/>
      </w:pPr>
    </w:p>
    <w:p w:rsidR="00FE25AB" w:rsidRDefault="00FE25AB">
      <w:pPr>
        <w:autoSpaceDE w:val="0"/>
        <w:autoSpaceDN w:val="0"/>
        <w:adjustRightInd w:val="0"/>
      </w:pPr>
      <w:r>
        <w:t xml:space="preserve">In addition to improved traffic signal operations, works are proposed at major junctions surrounding the town centre to maximise their operational capacity. This could include extensions to turning lanes and revised lane configurations that would deliver additional queuing capacity and more efficient timings to reduce delays for vehicles and pedestrians. Works on highway link roads would support these proposals, including the potential to make Commercial Road between High St and Knight Road two-way. </w:t>
      </w:r>
    </w:p>
    <w:p w:rsidR="00FE25AB" w:rsidRDefault="00FE25AB">
      <w:pPr>
        <w:autoSpaceDE w:val="0"/>
        <w:autoSpaceDN w:val="0"/>
        <w:adjustRightInd w:val="0"/>
      </w:pPr>
    </w:p>
    <w:p w:rsidR="00FE25AB" w:rsidRDefault="00FE25AB">
      <w:pPr>
        <w:autoSpaceDE w:val="0"/>
        <w:autoSpaceDN w:val="0"/>
        <w:adjustRightInd w:val="0"/>
      </w:pPr>
      <w:r>
        <w:t>Traffic management measures are also proposed to manage general traffic flows from Medway City Estate, including a combination of access constraints, signing and calming measures.</w:t>
      </w:r>
    </w:p>
    <w:p w:rsidR="00FE25AB" w:rsidRDefault="00FE25AB">
      <w:pPr>
        <w:autoSpaceDE w:val="0"/>
        <w:autoSpaceDN w:val="0"/>
        <w:adjustRightInd w:val="0"/>
      </w:pPr>
    </w:p>
    <w:p w:rsidR="00FE25AB" w:rsidRDefault="00FE25AB">
      <w:pPr>
        <w:autoSpaceDE w:val="0"/>
        <w:autoSpaceDN w:val="0"/>
        <w:adjustRightInd w:val="0"/>
        <w:ind w:left="0"/>
        <w:rPr>
          <w:b/>
          <w:bCs/>
          <w:i/>
          <w:iCs/>
        </w:rPr>
      </w:pPr>
      <w:r>
        <w:rPr>
          <w:b/>
          <w:bCs/>
          <w:i/>
          <w:iCs/>
        </w:rPr>
        <w:t>1.4.2</w:t>
      </w:r>
      <w:r>
        <w:rPr>
          <w:b/>
          <w:bCs/>
          <w:i/>
          <w:iCs/>
        </w:rPr>
        <w:tab/>
        <w:t xml:space="preserve">Accessibility </w:t>
      </w:r>
    </w:p>
    <w:p w:rsidR="00FE25AB" w:rsidRDefault="00FE25AB">
      <w:pPr>
        <w:autoSpaceDE w:val="0"/>
        <w:autoSpaceDN w:val="0"/>
        <w:adjustRightInd w:val="0"/>
      </w:pPr>
    </w:p>
    <w:p w:rsidR="00FE25AB" w:rsidRDefault="00FE25AB">
      <w:pPr>
        <w:autoSpaceDE w:val="0"/>
        <w:autoSpaceDN w:val="0"/>
        <w:adjustRightInd w:val="0"/>
        <w:rPr>
          <w:b/>
          <w:bCs/>
        </w:rPr>
      </w:pPr>
      <w:r>
        <w:rPr>
          <w:b/>
          <w:bCs/>
        </w:rPr>
        <w:t>Pedestrians</w:t>
      </w:r>
    </w:p>
    <w:p w:rsidR="00FE25AB" w:rsidRDefault="00FE25AB">
      <w:pPr>
        <w:autoSpaceDE w:val="0"/>
        <w:autoSpaceDN w:val="0"/>
        <w:adjustRightInd w:val="0"/>
      </w:pPr>
      <w:r>
        <w:t xml:space="preserve">Footway widening and reconstruction of footway surfaces is proposed to provide seamless and comfortable walk routes within the town centre and on links to development sites and public transport interchanges, including the nearby High-Speed rail station. Side road junctions would be provided with raised “gateway” crossings to produce at-grade walk routes on all major corridors. New and upgraded pedestrian crossings will be delivered on existing desire lines, including a combination of controlled and uncontrolled facilities. This would be supported by pedestrian way-finding signs to key destinations and public transport facilities. Footway lighting is proposed to improve </w:t>
      </w:r>
      <w:r>
        <w:lastRenderedPageBreak/>
        <w:t>security and, at the rail station, it is proposed to refurbish a pedestrian subway tunnel to the north of station with provision of cladding / LED lighting and improved security.</w:t>
      </w:r>
    </w:p>
    <w:p w:rsidR="00FE25AB" w:rsidRDefault="00FE25AB">
      <w:pPr>
        <w:autoSpaceDE w:val="0"/>
        <w:autoSpaceDN w:val="0"/>
        <w:adjustRightInd w:val="0"/>
      </w:pPr>
    </w:p>
    <w:p w:rsidR="00FE25AB" w:rsidRDefault="00FE25AB">
      <w:pPr>
        <w:autoSpaceDE w:val="0"/>
        <w:autoSpaceDN w:val="0"/>
        <w:adjustRightInd w:val="0"/>
        <w:rPr>
          <w:b/>
          <w:bCs/>
        </w:rPr>
      </w:pPr>
      <w:r>
        <w:rPr>
          <w:b/>
          <w:bCs/>
        </w:rPr>
        <w:t>Cyclists</w:t>
      </w:r>
    </w:p>
    <w:p w:rsidR="00FE25AB" w:rsidRDefault="00FE25AB">
      <w:pPr>
        <w:autoSpaceDE w:val="0"/>
        <w:autoSpaceDN w:val="0"/>
        <w:adjustRightInd w:val="0"/>
      </w:pPr>
      <w:r>
        <w:t>A new cycle route would be delivered from A226 Gravesend Road to National Cycle Route 1, with a further link to an existing cycle route over Rochester Bridge. Toucan crossings will be provided where routes intersect major roads, or link to town centre destinations. Works would involve provision of segregated cycle lanes on-street along with a new cycle route “boardwalk” along the banks of the River Medway, which would provide both a leisure facility and a new commuter cycle link from proposed housing development sites to the town centre area. Advance cycle stops lines, new cycle parking facilities and cycle route signing would also be provided to support this priority network.</w:t>
      </w:r>
    </w:p>
    <w:p w:rsidR="00FE25AB" w:rsidRDefault="00FE25AB">
      <w:pPr>
        <w:autoSpaceDE w:val="0"/>
        <w:autoSpaceDN w:val="0"/>
        <w:adjustRightInd w:val="0"/>
      </w:pPr>
    </w:p>
    <w:p w:rsidR="00FE25AB" w:rsidRDefault="00FE25AB">
      <w:pPr>
        <w:autoSpaceDE w:val="0"/>
        <w:autoSpaceDN w:val="0"/>
        <w:adjustRightInd w:val="0"/>
        <w:ind w:left="0"/>
        <w:rPr>
          <w:b/>
          <w:bCs/>
          <w:i/>
          <w:iCs/>
        </w:rPr>
      </w:pPr>
      <w:r>
        <w:rPr>
          <w:b/>
          <w:bCs/>
          <w:i/>
          <w:iCs/>
        </w:rPr>
        <w:t>1.4.3</w:t>
      </w:r>
      <w:r>
        <w:rPr>
          <w:b/>
          <w:bCs/>
          <w:i/>
          <w:iCs/>
        </w:rPr>
        <w:tab/>
        <w:t>Public Realm and Retail Centre</w:t>
      </w:r>
    </w:p>
    <w:p w:rsidR="00FE25AB" w:rsidRDefault="00FE25AB">
      <w:pPr>
        <w:autoSpaceDE w:val="0"/>
        <w:autoSpaceDN w:val="0"/>
        <w:adjustRightInd w:val="0"/>
      </w:pPr>
    </w:p>
    <w:p w:rsidR="00FE25AB" w:rsidRDefault="00FE25AB">
      <w:r>
        <w:t xml:space="preserve">In conjunction with delivery of accessibility and journey time improvement measures, construction of a high-quality urban realm environment is proposed. This will create a sense of place and quality that will act to regenerate the town centre, thereby increasing land values and enhancing the viability of housing and employment plans. </w:t>
      </w:r>
    </w:p>
    <w:p w:rsidR="00FE25AB" w:rsidRDefault="00FE25AB"/>
    <w:p w:rsidR="00FE25AB" w:rsidRDefault="00FE25AB">
      <w:r>
        <w:t xml:space="preserve">Footways will be reconstructed with high quality materials, new street furniture will be provided and street trees will be planted to create a defined identity for </w:t>
      </w:r>
      <w:proofErr w:type="spellStart"/>
      <w:r>
        <w:t>Strood</w:t>
      </w:r>
      <w:proofErr w:type="spellEnd"/>
      <w:r>
        <w:t xml:space="preserve">. In addition, carriageways will be reconstructed in high quality surfacing, potentially introducing boulevard zones with new green spaces. Street lighting will be upgraded and replaced with energy saving LED white lighting. </w:t>
      </w:r>
    </w:p>
    <w:p w:rsidR="00FE25AB" w:rsidRDefault="00FE25AB"/>
    <w:p w:rsidR="00FE25AB" w:rsidRDefault="00FE25AB">
      <w:r>
        <w:t xml:space="preserve">Medway will also work with traders to enhance the visual appeal of the town centre by improving frontages, create new seating areas and outside spaces for food and drink. In addition, new and improved parking facilities are proposed with better loading and taxi facilities. </w:t>
      </w:r>
    </w:p>
    <w:p w:rsidR="00FE25AB" w:rsidRDefault="00FE25AB"/>
    <w:p w:rsidR="00FE25AB" w:rsidRDefault="00FE25AB">
      <w:pPr>
        <w:ind w:left="0"/>
        <w:rPr>
          <w:b/>
          <w:bCs/>
          <w:i/>
          <w:iCs/>
        </w:rPr>
      </w:pPr>
      <w:r>
        <w:rPr>
          <w:b/>
          <w:bCs/>
          <w:i/>
          <w:iCs/>
        </w:rPr>
        <w:t>1.4.4</w:t>
      </w:r>
      <w:r>
        <w:rPr>
          <w:b/>
          <w:bCs/>
          <w:i/>
          <w:iCs/>
        </w:rPr>
        <w:tab/>
        <w:t>Linking to new housing developments</w:t>
      </w:r>
    </w:p>
    <w:p w:rsidR="00FE25AB" w:rsidRDefault="00FE25AB">
      <w:pPr>
        <w:autoSpaceDE w:val="0"/>
        <w:autoSpaceDN w:val="0"/>
        <w:adjustRightInd w:val="0"/>
      </w:pPr>
    </w:p>
    <w:p w:rsidR="00FE25AB" w:rsidRDefault="00FE25AB">
      <w:r>
        <w:t xml:space="preserve">The majority of costs to facilitate access to, and enable development of, the core development sites in </w:t>
      </w:r>
      <w:proofErr w:type="spellStart"/>
      <w:r>
        <w:t>Strood</w:t>
      </w:r>
      <w:proofErr w:type="spellEnd"/>
      <w:r>
        <w:t xml:space="preserve"> will be funded through Section 106 contributions, which would be in the range of £2.5m. Additional LGF funding is proposed to assist in providing the quality of finish proposed within </w:t>
      </w:r>
      <w:proofErr w:type="spellStart"/>
      <w:r>
        <w:t>Strood</w:t>
      </w:r>
      <w:proofErr w:type="spellEnd"/>
      <w:r>
        <w:t xml:space="preserve">, and to deliver the linkages to pedestrian and cycling routes planned as part of the wider LGF scheme. This will include works to enhance pedestrian routes to </w:t>
      </w:r>
      <w:proofErr w:type="spellStart"/>
      <w:r>
        <w:t>Strood</w:t>
      </w:r>
      <w:proofErr w:type="spellEnd"/>
      <w:r>
        <w:t xml:space="preserve"> station from the Riverside </w:t>
      </w:r>
    </w:p>
    <w:p w:rsidR="00FE25AB" w:rsidRDefault="00FE25AB">
      <w:r>
        <w:t>and Civic centre sites along with contributions to enhance the quality of pavement surfacing on links to strategic walking and cycle routes. Some “soft measures” are also proposed in the form of a travel plan programme for groups of businesses within the Medway City Estate.</w:t>
      </w:r>
    </w:p>
    <w:p w:rsidR="00FE25AB" w:rsidRDefault="00FE25AB"/>
    <w:p w:rsidR="00FE25AB" w:rsidRDefault="00FE25AB">
      <w:pPr>
        <w:rPr>
          <w:b/>
          <w:bCs/>
        </w:rPr>
      </w:pPr>
      <w:r>
        <w:rPr>
          <w:b/>
          <w:bCs/>
        </w:rPr>
        <w:br w:type="page"/>
      </w:r>
      <w:r>
        <w:rPr>
          <w:b/>
          <w:bCs/>
        </w:rPr>
        <w:lastRenderedPageBreak/>
        <w:t>Summary of Proposals</w:t>
      </w:r>
    </w:p>
    <w:p w:rsidR="00FE25AB" w:rsidRDefault="004D0481">
      <w:r>
        <w:rPr>
          <w:noProof/>
          <w:lang w:eastAsia="en-GB"/>
        </w:rPr>
        <w:pict>
          <v:shape id="_x0000_s1050" type="#_x0000_t202" style="position:absolute;left:0;text-align:left;margin-left:0;margin-top:168.7pt;width:126.75pt;height:122.35pt;z-index:251630080" o:regroupid="1" stroked="f">
            <v:fill opacity="39322f"/>
            <v:textbox style="mso-next-textbox:#_x0000_s1050">
              <w:txbxContent>
                <w:p w:rsidR="00FE25AB" w:rsidRDefault="00FE25AB">
                  <w:pPr>
                    <w:ind w:left="0"/>
                    <w:rPr>
                      <w:b/>
                      <w:bCs/>
                      <w:sz w:val="20"/>
                      <w:szCs w:val="20"/>
                    </w:rPr>
                  </w:pPr>
                  <w:r>
                    <w:rPr>
                      <w:b/>
                      <w:bCs/>
                      <w:sz w:val="20"/>
                      <w:szCs w:val="20"/>
                    </w:rPr>
                    <w:t xml:space="preserve">Re-validation of UTC with additional CCTV to enhance real time traffic flow control &amp; expand bus real time information and improve the operation and monitoring of bus journey time reliability </w:t>
                  </w:r>
                </w:p>
              </w:txbxContent>
            </v:textbox>
          </v:shape>
        </w:pict>
      </w:r>
      <w:r>
        <w:rPr>
          <w:noProof/>
          <w:lang w:eastAsia="en-GB"/>
        </w:rPr>
        <w:pict>
          <v:shape id="_x0000_s1051" type="#_x0000_t32" style="position:absolute;left:0;text-align:left;margin-left:101.25pt;margin-top:85.7pt;width:134.25pt;height:1in;z-index:251646464" o:connectortype="straight" o:regroupid="1">
            <v:stroke endarrow="block"/>
          </v:shape>
        </w:pict>
      </w:r>
      <w:r>
        <w:rPr>
          <w:noProof/>
          <w:lang w:eastAsia="en-GB"/>
        </w:rPr>
        <w:pict>
          <v:shape id="_x0000_s1052" type="#_x0000_t32" style="position:absolute;left:0;text-align:left;margin-left:101.25pt;margin-top:85.7pt;width:61.5pt;height:108pt;z-index:251645440" o:connectortype="straight" o:regroupid="1">
            <v:stroke endarrow="block"/>
          </v:shape>
        </w:pict>
      </w:r>
      <w:r>
        <w:rPr>
          <w:noProof/>
          <w:lang w:eastAsia="en-GB"/>
        </w:rPr>
        <w:pict>
          <v:shape id="_x0000_s1053" type="#_x0000_t32" style="position:absolute;left:0;text-align:left;margin-left:101.25pt;margin-top:85.7pt;width:165pt;height:117pt;z-index:251644416" o:connectortype="straight" o:regroupid="1">
            <v:stroke endarrow="block"/>
          </v:shape>
        </w:pict>
      </w:r>
      <w:r>
        <w:rPr>
          <w:noProof/>
          <w:lang w:eastAsia="en-GB"/>
        </w:rPr>
        <w:pict>
          <v:shape id="_x0000_s1054" type="#_x0000_t32" style="position:absolute;left:0;text-align:left;margin-left:101.25pt;margin-top:85.7pt;width:61.5pt;height:60.75pt;z-index:251643392" o:connectortype="straight" o:regroupid="1">
            <v:stroke endarrow="block"/>
          </v:shape>
        </w:pict>
      </w:r>
      <w:r>
        <w:rPr>
          <w:noProof/>
          <w:lang w:eastAsia="en-GB"/>
        </w:rPr>
        <w:pict>
          <v:shape id="_x0000_s1055" style="position:absolute;left:0;text-align:left;margin-left:0;margin-top:67.7pt;width:410.25pt;height:258.75pt;z-index:251642368" coordsize="8205,5175" o:regroupid="1" path="m2610,2520l2340,2040,1920,1800r-660,-75l390,1710,45,1740,,1005,1065,930r705,105l2430,585,3255,195,4350,120r960,150l5220,915r90,495l5580,1980r270,105l6480,1530,7560,r645,435l7560,1410r-690,750l6555,2625r-225,360l6975,3555r690,615l8010,4650r-615,525l6660,4380,6090,3705,5205,3210r-855,-15l3420,3150,2925,2985,2610,2520xe" filled="f" strokecolor="red" strokeweight="2.25pt">
            <v:stroke dashstyle="1 1"/>
            <v:path arrowok="t"/>
          </v:shape>
        </w:pict>
      </w:r>
      <w:r>
        <w:rPr>
          <w:noProof/>
          <w:lang w:eastAsia="en-GB"/>
        </w:rPr>
        <w:pict>
          <v:shape id="_x0000_s1056" type="#_x0000_t32" style="position:absolute;left:0;text-align:left;margin-left:137.25pt;margin-top:162.2pt;width:89.25pt;height:119.25pt;flip:y;z-index:251640320" o:connectortype="straight" o:regroupid="1">
            <v:stroke endarrow="block"/>
          </v:shape>
        </w:pict>
      </w:r>
      <w:r>
        <w:rPr>
          <w:noProof/>
          <w:lang w:eastAsia="en-GB"/>
        </w:rPr>
        <w:pict>
          <v:shape id="_x0000_s1057" type="#_x0000_t32" style="position:absolute;left:0;text-align:left;margin-left:279pt;margin-top:63.2pt;width:59.25pt;height:75pt;z-index:251637248" o:connectortype="straight" o:regroupid="1">
            <v:stroke endarrow="block"/>
          </v:shape>
        </w:pict>
      </w:r>
      <w:r>
        <w:rPr>
          <w:noProof/>
          <w:lang w:eastAsia="en-GB"/>
        </w:rPr>
        <w:pict>
          <v:shape id="_x0000_s1058" type="#_x0000_t202" style="position:absolute;left:0;text-align:left;margin-left:33pt;margin-top:44.45pt;width:78.75pt;height:45pt;z-index:251634176" o:regroupid="1" stroked="f">
            <v:fill opacity="39322f"/>
            <v:textbox style="mso-next-textbox:#_x0000_s1058">
              <w:txbxContent>
                <w:p w:rsidR="00FE25AB" w:rsidRDefault="00FE25AB">
                  <w:pPr>
                    <w:ind w:left="0"/>
                    <w:jc w:val="right"/>
                    <w:rPr>
                      <w:b/>
                      <w:bCs/>
                      <w:sz w:val="20"/>
                      <w:szCs w:val="20"/>
                    </w:rPr>
                  </w:pPr>
                  <w:r>
                    <w:rPr>
                      <w:b/>
                      <w:bCs/>
                      <w:sz w:val="20"/>
                      <w:szCs w:val="20"/>
                    </w:rPr>
                    <w:t xml:space="preserve">Improve operation of key junctions </w:t>
                  </w:r>
                </w:p>
              </w:txbxContent>
            </v:textbox>
          </v:shape>
        </w:pict>
      </w:r>
      <w:r>
        <w:rPr>
          <w:noProof/>
          <w:lang w:eastAsia="en-GB"/>
        </w:rPr>
        <w:pict>
          <v:shape id="_x0000_s1059" type="#_x0000_t202" style="position:absolute;left:0;text-align:left;margin-left:167.25pt;margin-top:33.2pt;width:149.25pt;height:34.5pt;z-index:251631104" o:regroupid="1" stroked="f">
            <v:fill opacity="39322f"/>
            <v:textbox style="mso-next-textbox:#_x0000_s1059">
              <w:txbxContent>
                <w:p w:rsidR="00FE25AB" w:rsidRDefault="00FE25AB">
                  <w:pPr>
                    <w:ind w:left="0"/>
                    <w:jc w:val="right"/>
                    <w:rPr>
                      <w:b/>
                      <w:bCs/>
                      <w:sz w:val="20"/>
                      <w:szCs w:val="20"/>
                    </w:rPr>
                  </w:pPr>
                  <w:r>
                    <w:rPr>
                      <w:b/>
                      <w:bCs/>
                      <w:sz w:val="20"/>
                      <w:szCs w:val="20"/>
                    </w:rPr>
                    <w:t>Improved pedestrian route to rail station</w:t>
                  </w:r>
                </w:p>
              </w:txbxContent>
            </v:textbox>
          </v:shape>
        </w:pict>
      </w:r>
      <w:r>
        <w:rPr>
          <w:noProof/>
          <w:lang w:eastAsia="en-GB"/>
        </w:rPr>
        <w:pict>
          <v:shape id="Picture 16" o:spid="_x0000_s1060" type="#_x0000_t75" style="position:absolute;left:0;text-align:left;margin-left:1.5pt;margin-top:21.7pt;width:467pt;height:329.9pt;z-index:-251691520;visibility:visible">
            <v:imagedata r:id="rId11" o:title=""/>
            <w10:wrap type="square"/>
          </v:shape>
        </w:pict>
      </w:r>
    </w:p>
    <w:p w:rsidR="00FE25AB" w:rsidRDefault="004D0481">
      <w:pPr>
        <w:ind w:left="0"/>
      </w:pPr>
      <w:r>
        <w:rPr>
          <w:noProof/>
          <w:lang w:eastAsia="en-GB"/>
        </w:rPr>
        <w:pict>
          <v:shape id="_x0000_s1061" type="#_x0000_t32" style="position:absolute;margin-left:111.75pt;margin-top:191.65pt;width:25.5pt;height:8.75pt;flip:y;z-index:251641344" o:connectortype="straight" o:regroupid="1">
            <v:stroke endarrow="block"/>
          </v:shape>
        </w:pict>
      </w:r>
      <w:r>
        <w:rPr>
          <w:noProof/>
          <w:lang w:eastAsia="en-GB"/>
        </w:rPr>
        <w:pict>
          <v:shape id="_x0000_s1062" type="#_x0000_t202" style="position:absolute;margin-left:121.5pt;margin-top:268.8pt;width:99.75pt;height:45pt;z-index:251635200" o:regroupid="1" stroked="f">
            <v:fill opacity="39322f"/>
            <v:textbox style="mso-next-textbox:#_x0000_s1062">
              <w:txbxContent>
                <w:p w:rsidR="00FE25AB" w:rsidRDefault="00FE25AB">
                  <w:pPr>
                    <w:ind w:left="0"/>
                    <w:jc w:val="center"/>
                    <w:rPr>
                      <w:b/>
                      <w:bCs/>
                      <w:sz w:val="20"/>
                      <w:szCs w:val="20"/>
                    </w:rPr>
                  </w:pPr>
                  <w:r>
                    <w:rPr>
                      <w:b/>
                      <w:bCs/>
                      <w:sz w:val="20"/>
                      <w:szCs w:val="20"/>
                    </w:rPr>
                    <w:t>Urban realm and environmental enhancements</w:t>
                  </w:r>
                </w:p>
              </w:txbxContent>
            </v:textbox>
          </v:shape>
        </w:pict>
      </w:r>
      <w:r>
        <w:rPr>
          <w:noProof/>
          <w:lang w:eastAsia="en-GB"/>
        </w:rPr>
        <w:pict>
          <v:shape id="_x0000_s1063" type="#_x0000_t32" style="position:absolute;margin-left:353.25pt;margin-top:212.65pt;width:57pt;height:37.4pt;flip:x;z-index:251647488" o:connectortype="straight" o:regroupid="1">
            <v:stroke endarrow="block"/>
          </v:shape>
        </w:pict>
      </w:r>
      <w:r>
        <w:rPr>
          <w:noProof/>
          <w:lang w:eastAsia="en-GB"/>
        </w:rPr>
        <w:pict>
          <v:shape id="_x0000_s1064" type="#_x0000_t32" style="position:absolute;margin-left:348.75pt;margin-top:307.15pt;width:29.25pt;height:8.25pt;flip:x y;z-index:251639296" o:connectortype="straight" o:regroupid="1">
            <v:stroke endarrow="block"/>
          </v:shape>
        </w:pict>
      </w:r>
      <w:r>
        <w:rPr>
          <w:noProof/>
          <w:lang w:eastAsia="en-GB"/>
        </w:rPr>
        <w:pict>
          <v:shape id="_x0000_s1065" type="#_x0000_t32" style="position:absolute;margin-left:391.5pt;margin-top:191.65pt;width:18.75pt;height:21pt;flip:x y;z-index:251638272" o:connectortype="straight" o:regroupid="1">
            <v:stroke endarrow="block"/>
          </v:shape>
        </w:pict>
      </w:r>
      <w:r>
        <w:rPr>
          <w:noProof/>
          <w:lang w:eastAsia="en-GB"/>
        </w:rPr>
        <w:pict>
          <v:shape id="_x0000_s1066" type="#_x0000_t202" style="position:absolute;margin-left:378pt;margin-top:301.15pt;width:69pt;height:33.75pt;z-index:251636224" o:regroupid="1" stroked="f">
            <v:fill opacity="39322f"/>
            <v:textbox style="mso-next-textbox:#_x0000_s1066">
              <w:txbxContent>
                <w:p w:rsidR="00FE25AB" w:rsidRDefault="00FE25AB">
                  <w:pPr>
                    <w:ind w:left="0"/>
                    <w:rPr>
                      <w:b/>
                      <w:bCs/>
                      <w:sz w:val="20"/>
                      <w:szCs w:val="20"/>
                    </w:rPr>
                  </w:pPr>
                  <w:r>
                    <w:rPr>
                      <w:b/>
                      <w:bCs/>
                      <w:sz w:val="20"/>
                      <w:szCs w:val="20"/>
                    </w:rPr>
                    <w:t>New cycle routes</w:t>
                  </w:r>
                </w:p>
              </w:txbxContent>
            </v:textbox>
          </v:shape>
        </w:pict>
      </w:r>
      <w:r>
        <w:rPr>
          <w:noProof/>
          <w:lang w:eastAsia="en-GB"/>
        </w:rPr>
        <w:pict>
          <v:shape id="_x0000_s1067" type="#_x0000_t202" style="position:absolute;margin-left:404.25pt;margin-top:208.15pt;width:84pt;height:53.25pt;z-index:251633152" o:regroupid="1" stroked="f">
            <v:fill opacity="39322f"/>
            <v:textbox style="mso-next-textbox:#_x0000_s1067">
              <w:txbxContent>
                <w:p w:rsidR="00FE25AB" w:rsidRDefault="00FE25AB">
                  <w:pPr>
                    <w:ind w:left="0"/>
                    <w:rPr>
                      <w:b/>
                      <w:bCs/>
                      <w:sz w:val="20"/>
                      <w:szCs w:val="20"/>
                    </w:rPr>
                  </w:pPr>
                  <w:r>
                    <w:rPr>
                      <w:b/>
                      <w:bCs/>
                      <w:sz w:val="20"/>
                      <w:szCs w:val="20"/>
                    </w:rPr>
                    <w:t>Access improvements - development site links</w:t>
                  </w:r>
                </w:p>
              </w:txbxContent>
            </v:textbox>
          </v:shape>
        </w:pict>
      </w:r>
      <w:r>
        <w:rPr>
          <w:noProof/>
          <w:lang w:eastAsia="en-GB"/>
        </w:rPr>
        <w:pict>
          <v:shape id="_x0000_s1068" type="#_x0000_t202" style="position:absolute;margin-left:404.25pt;margin-top:208.15pt;width:84pt;height:53.25pt;z-index:251632128" o:regroupid="1" stroked="f">
            <v:fill opacity="39322f"/>
            <v:textbox style="mso-next-textbox:#_x0000_s1068">
              <w:txbxContent>
                <w:p w:rsidR="00FE25AB" w:rsidRDefault="00FE25AB">
                  <w:pPr>
                    <w:ind w:left="0"/>
                    <w:rPr>
                      <w:b/>
                      <w:bCs/>
                      <w:sz w:val="20"/>
                      <w:szCs w:val="20"/>
                    </w:rPr>
                  </w:pPr>
                  <w:r>
                    <w:rPr>
                      <w:b/>
                      <w:bCs/>
                      <w:sz w:val="20"/>
                      <w:szCs w:val="20"/>
                    </w:rPr>
                    <w:t>Access improvements - development site links</w:t>
                  </w:r>
                </w:p>
              </w:txbxContent>
            </v:textbox>
          </v:shape>
        </w:pict>
      </w:r>
    </w:p>
    <w:p w:rsidR="00FE25AB" w:rsidRDefault="00FE25AB">
      <w:pPr>
        <w:pStyle w:val="Subsection"/>
      </w:pPr>
    </w:p>
    <w:p w:rsidR="00FE25AB" w:rsidRDefault="00FE25AB">
      <w:pPr>
        <w:pStyle w:val="Subsection"/>
      </w:pPr>
      <w:r>
        <w:t>1.5</w:t>
      </w:r>
      <w:r>
        <w:tab/>
      </w:r>
      <w:proofErr w:type="spellStart"/>
      <w:r>
        <w:t>Strood</w:t>
      </w:r>
      <w:proofErr w:type="spellEnd"/>
      <w:r>
        <w:t xml:space="preserve"> Station Proposals</w:t>
      </w:r>
    </w:p>
    <w:p w:rsidR="00FE25AB" w:rsidRDefault="00FE25AB">
      <w:pPr>
        <w:pStyle w:val="Subsection"/>
      </w:pPr>
    </w:p>
    <w:p w:rsidR="00FE25AB" w:rsidRDefault="00FE25AB">
      <w:r>
        <w:t xml:space="preserve">In summary the package of station gateway improvements is a joint project between Network Rail, </w:t>
      </w:r>
      <w:proofErr w:type="spellStart"/>
      <w:r>
        <w:t>Southeastern</w:t>
      </w:r>
      <w:proofErr w:type="spellEnd"/>
      <w:r>
        <w:t xml:space="preserve"> and Medway Council. The package has matched allocated funding from Network Rail/</w:t>
      </w:r>
      <w:proofErr w:type="spellStart"/>
      <w:r>
        <w:t>Southeastern</w:t>
      </w:r>
      <w:proofErr w:type="spellEnd"/>
      <w:r>
        <w:t xml:space="preserve"> and works are programmed to be undertaken between 2015/16 and 2016/17. </w:t>
      </w:r>
    </w:p>
    <w:p w:rsidR="00FE25AB" w:rsidRDefault="00FE25AB"/>
    <w:p w:rsidR="00FE25AB" w:rsidRDefault="00FE25AB">
      <w:proofErr w:type="spellStart"/>
      <w:r>
        <w:t>Strood</w:t>
      </w:r>
      <w:proofErr w:type="spellEnd"/>
      <w:r>
        <w:t xml:space="preserve"> railway station was used as either the origin or destination station for approximately 1.11 million rail trips in 2011/12</w:t>
      </w:r>
      <w:r>
        <w:rPr>
          <w:rStyle w:val="FootnoteReference"/>
          <w:rFonts w:ascii="Arial" w:hAnsi="Arial" w:cs="Arial"/>
        </w:rPr>
        <w:footnoteReference w:id="3"/>
      </w:r>
      <w:r>
        <w:t xml:space="preserve">. A positive GRIP 1-3 assessment for improvements to </w:t>
      </w:r>
      <w:proofErr w:type="spellStart"/>
      <w:r>
        <w:t>Strood</w:t>
      </w:r>
      <w:proofErr w:type="spellEnd"/>
      <w:r>
        <w:t xml:space="preserve"> station has been undertaken by the rail industry. This is a key driver for bringing in regeneration and growth to the town and is linked to the package of town centre improvements described within this business case. Network Rail has already invested in a new footbridge and lifts at </w:t>
      </w:r>
      <w:proofErr w:type="spellStart"/>
      <w:r>
        <w:t>Strood</w:t>
      </w:r>
      <w:proofErr w:type="spellEnd"/>
      <w:r>
        <w:t xml:space="preserve"> station. </w:t>
      </w:r>
      <w:proofErr w:type="spellStart"/>
      <w:r>
        <w:t>Southeastern</w:t>
      </w:r>
      <w:proofErr w:type="spellEnd"/>
      <w:r>
        <w:t xml:space="preserve"> currently have £1.25m earmarked for the station, but a new station will be built only if matched funding is secured.</w:t>
      </w:r>
    </w:p>
    <w:p w:rsidR="00FE25AB" w:rsidRDefault="00FE25AB"/>
    <w:p w:rsidR="00FE25AB" w:rsidRDefault="00FE25AB">
      <w:r>
        <w:t xml:space="preserve">The experience for passengers using </w:t>
      </w:r>
      <w:proofErr w:type="spellStart"/>
      <w:r>
        <w:t>Strood</w:t>
      </w:r>
      <w:proofErr w:type="spellEnd"/>
      <w:r>
        <w:t xml:space="preserve"> railway station is poor and this gateway into a nationally recognised regeneration area is in need of improvement. It is an important station strategically and a key interchange for Medway residents, providing access to work and school. It is a high-speed station, with quick journey times to London - direct high-speed services are provided from </w:t>
      </w:r>
      <w:proofErr w:type="spellStart"/>
      <w:r>
        <w:t>Strood</w:t>
      </w:r>
      <w:proofErr w:type="spellEnd"/>
      <w:r>
        <w:t xml:space="preserve"> to Stratford International station</w:t>
      </w:r>
      <w:r>
        <w:rPr>
          <w:color w:val="E36C0A"/>
        </w:rPr>
        <w:t xml:space="preserve"> </w:t>
      </w:r>
      <w:r>
        <w:lastRenderedPageBreak/>
        <w:t xml:space="preserve">(27 minutes) and St Pancras International station (34 minutes), together with services to Charing Cross and Cannon Street. </w:t>
      </w:r>
    </w:p>
    <w:p w:rsidR="00FE25AB" w:rsidRDefault="00FE25AB"/>
    <w:p w:rsidR="00FE25AB" w:rsidRDefault="00FE25AB">
      <w:r>
        <w:t xml:space="preserve">Links are also provided to west Kent via the Medway Valley Line, with </w:t>
      </w:r>
      <w:proofErr w:type="spellStart"/>
      <w:r>
        <w:t>Strood</w:t>
      </w:r>
      <w:proofErr w:type="spellEnd"/>
      <w:r>
        <w:t xml:space="preserve"> being the end of this Community Rail line, which is supported financially by Medway Council. </w:t>
      </w:r>
    </w:p>
    <w:p w:rsidR="00FE25AB" w:rsidRDefault="00FE25AB"/>
    <w:p w:rsidR="00FE25AB" w:rsidRDefault="00FE25AB">
      <w:proofErr w:type="spellStart"/>
      <w:r>
        <w:t>Strood</w:t>
      </w:r>
      <w:proofErr w:type="spellEnd"/>
      <w:r>
        <w:t xml:space="preserve"> station is an old station with many issues including a small booking hall and poor waiting facilities; lack of quality retail facilities; tired and small toilets (and no DDA compliant toilet) and; poor waiting facilities on the island platform.</w:t>
      </w:r>
    </w:p>
    <w:p w:rsidR="00FE25AB" w:rsidRDefault="00FE25AB"/>
    <w:p w:rsidR="00FE25AB" w:rsidRDefault="00FE25AB">
      <w:r>
        <w:t xml:space="preserve">The station is undergoing accessibility improvements with new lifts and platform extensions so that all platforms can accommodate 12 car trains. </w:t>
      </w:r>
      <w:proofErr w:type="spellStart"/>
      <w:r>
        <w:t>Southeastern</w:t>
      </w:r>
      <w:proofErr w:type="spellEnd"/>
      <w:r>
        <w:t xml:space="preserve"> and Network Rail are seeking to earn a BREEAM accreditation of ‘Excellent’ for the </w:t>
      </w:r>
      <w:proofErr w:type="spellStart"/>
      <w:r>
        <w:t>Strood</w:t>
      </w:r>
      <w:proofErr w:type="spellEnd"/>
      <w:r>
        <w:t xml:space="preserve"> station building.  The match funding will assist to provide a new station building with a new and expanded booking hall with more gates, improved ticket office and new ticket vending machines, improved waiting and toilet facilities, retail units and a re-worked forecourt, delivering a significantly improved customer experience.</w:t>
      </w:r>
    </w:p>
    <w:p w:rsidR="00FE25AB" w:rsidRDefault="00FE25AB"/>
    <w:p w:rsidR="00FE25AB" w:rsidRDefault="00FE25AB">
      <w:pPr>
        <w:pStyle w:val="Heading4"/>
      </w:pPr>
      <w:r>
        <w:t xml:space="preserve">Proposed New </w:t>
      </w:r>
      <w:proofErr w:type="spellStart"/>
      <w:r>
        <w:t>Strood</w:t>
      </w:r>
      <w:proofErr w:type="spellEnd"/>
      <w:r>
        <w:t xml:space="preserve"> Station</w:t>
      </w:r>
    </w:p>
    <w:p w:rsidR="00FE25AB" w:rsidRDefault="00FE25AB">
      <w:pPr>
        <w:rPr>
          <w:color w:val="E36C0A"/>
        </w:rPr>
      </w:pPr>
    </w:p>
    <w:p w:rsidR="00FE25AB" w:rsidRDefault="004D0481">
      <w:pPr>
        <w:rPr>
          <w:color w:val="E36C0A"/>
        </w:rPr>
      </w:pPr>
      <w:r>
        <w:rPr>
          <w:noProof/>
          <w:color w:val="E36C0A"/>
          <w:lang w:eastAsia="en-GB"/>
        </w:rPr>
        <w:pict>
          <v:shape id="Picture 1" o:spid="_x0000_i1025" type="#_x0000_t75" style="width:471pt;height:135pt;visibility:visible">
            <v:imagedata r:id="rId12" o:title=""/>
          </v:shape>
        </w:pict>
      </w:r>
    </w:p>
    <w:p w:rsidR="00FE25AB" w:rsidRDefault="00FE25AB">
      <w:pPr>
        <w:rPr>
          <w:color w:val="E36C0A"/>
        </w:rPr>
      </w:pPr>
    </w:p>
    <w:p w:rsidR="00FE25AB" w:rsidRDefault="00FE25AB">
      <w:r>
        <w:t xml:space="preserve">The recommended options do not require any land acquisition and discussions with Medway Council planning department indicates that the proposed works have Permitted Development Rights. No other known constraints have been identified at this stage (technical, environmental, archaeological). The work at both stations is programmed to be undertaken between 2015/16 and 2016/17. </w:t>
      </w:r>
    </w:p>
    <w:p w:rsidR="00FE25AB" w:rsidRDefault="00FE25AB"/>
    <w:p w:rsidR="00FE25AB" w:rsidRDefault="00FE25AB">
      <w:r>
        <w:t xml:space="preserve">The new station building has been </w:t>
      </w:r>
      <w:proofErr w:type="spellStart"/>
      <w:r>
        <w:t>costed</w:t>
      </w:r>
      <w:proofErr w:type="spellEnd"/>
      <w:r>
        <w:t xml:space="preserve"> in GRIP 1-3 reports</w:t>
      </w:r>
      <w:r>
        <w:rPr>
          <w:rStyle w:val="FootnoteReference"/>
          <w:rFonts w:ascii="Arial" w:hAnsi="Arial" w:cs="Arial"/>
        </w:rPr>
        <w:footnoteReference w:id="4"/>
      </w:r>
      <w:r>
        <w:t xml:space="preserve"> for the project, with a budget estimate of £2.5m. In combination with the </w:t>
      </w:r>
      <w:proofErr w:type="spellStart"/>
      <w:r>
        <w:t>Strood</w:t>
      </w:r>
      <w:proofErr w:type="spellEnd"/>
      <w:r>
        <w:t xml:space="preserve"> town centre journey time and accessibility scheme, the proposals will have a positive growth impact across the town. </w:t>
      </w:r>
    </w:p>
    <w:p w:rsidR="00FE25AB" w:rsidRDefault="00FE25AB"/>
    <w:p w:rsidR="00FE25AB" w:rsidRDefault="00FE25AB">
      <w:pPr>
        <w:pStyle w:val="Subsection"/>
      </w:pPr>
      <w:r>
        <w:t>1.6</w:t>
      </w:r>
      <w:r>
        <w:tab/>
        <w:t>Structure of Report</w:t>
      </w:r>
    </w:p>
    <w:p w:rsidR="00FE25AB" w:rsidRDefault="00FE25AB"/>
    <w:p w:rsidR="00FE25AB" w:rsidRDefault="00FE25AB">
      <w:r>
        <w:t xml:space="preserve">This report broadly follows the requirements set out in the </w:t>
      </w:r>
      <w:proofErr w:type="spellStart"/>
      <w:r>
        <w:t>DfT</w:t>
      </w:r>
      <w:proofErr w:type="spellEnd"/>
      <w:r>
        <w:t xml:space="preserve"> Transport Business Cases guidance relating to the development of a Strategic Outline Case. The structure of this SOC is as follows:</w:t>
      </w:r>
    </w:p>
    <w:p w:rsidR="00FE25AB" w:rsidRDefault="00FE25AB"/>
    <w:p w:rsidR="00FE25AB" w:rsidRDefault="00FE25AB">
      <w:pPr>
        <w:pStyle w:val="ListParagraph"/>
        <w:numPr>
          <w:ilvl w:val="0"/>
          <w:numId w:val="3"/>
        </w:numPr>
        <w:rPr>
          <w:rFonts w:ascii="Arial" w:hAnsi="Arial" w:cs="Arial"/>
        </w:rPr>
      </w:pPr>
      <w:r>
        <w:rPr>
          <w:rFonts w:ascii="Arial" w:hAnsi="Arial" w:cs="Arial"/>
          <w:b/>
          <w:bCs/>
        </w:rPr>
        <w:t xml:space="preserve">Section 1 – </w:t>
      </w:r>
      <w:r>
        <w:rPr>
          <w:rFonts w:ascii="Arial" w:hAnsi="Arial" w:cs="Arial"/>
        </w:rPr>
        <w:t>Introduction – Outlines the purpose and back ground of the report</w:t>
      </w:r>
    </w:p>
    <w:p w:rsidR="00FE25AB" w:rsidRDefault="00FE25AB">
      <w:pPr>
        <w:pStyle w:val="ListParagraph"/>
        <w:numPr>
          <w:ilvl w:val="0"/>
          <w:numId w:val="3"/>
        </w:numPr>
        <w:rPr>
          <w:rFonts w:ascii="Arial" w:hAnsi="Arial" w:cs="Arial"/>
        </w:rPr>
      </w:pPr>
      <w:r>
        <w:rPr>
          <w:rFonts w:ascii="Arial" w:hAnsi="Arial" w:cs="Arial"/>
          <w:b/>
          <w:bCs/>
        </w:rPr>
        <w:t xml:space="preserve">Section 2 – </w:t>
      </w:r>
      <w:r>
        <w:rPr>
          <w:rFonts w:ascii="Arial" w:hAnsi="Arial" w:cs="Arial"/>
        </w:rPr>
        <w:t>Strategic Case – Sets out the case for change and why the scheme is needed</w:t>
      </w:r>
    </w:p>
    <w:p w:rsidR="00FE25AB" w:rsidRDefault="00FE25AB">
      <w:pPr>
        <w:pStyle w:val="ListParagraph"/>
        <w:numPr>
          <w:ilvl w:val="0"/>
          <w:numId w:val="3"/>
        </w:numPr>
        <w:rPr>
          <w:rFonts w:ascii="Arial" w:hAnsi="Arial" w:cs="Arial"/>
        </w:rPr>
      </w:pPr>
      <w:r>
        <w:rPr>
          <w:rFonts w:ascii="Arial" w:hAnsi="Arial" w:cs="Arial"/>
          <w:b/>
          <w:bCs/>
        </w:rPr>
        <w:lastRenderedPageBreak/>
        <w:t>Section 3 –</w:t>
      </w:r>
      <w:r>
        <w:rPr>
          <w:rFonts w:ascii="Arial" w:hAnsi="Arial" w:cs="Arial"/>
        </w:rPr>
        <w:t xml:space="preserve"> Economic Case – Presents an appraisal of the impacts of a range of options and the resulting value for money of the Scheme</w:t>
      </w:r>
    </w:p>
    <w:p w:rsidR="00FE25AB" w:rsidRDefault="00FE25AB">
      <w:pPr>
        <w:pStyle w:val="ListParagraph"/>
        <w:numPr>
          <w:ilvl w:val="0"/>
          <w:numId w:val="3"/>
        </w:numPr>
        <w:rPr>
          <w:rFonts w:ascii="Arial" w:hAnsi="Arial" w:cs="Arial"/>
        </w:rPr>
      </w:pPr>
      <w:r>
        <w:rPr>
          <w:rFonts w:ascii="Arial" w:hAnsi="Arial" w:cs="Arial"/>
          <w:b/>
          <w:bCs/>
        </w:rPr>
        <w:t xml:space="preserve">Section 4 </w:t>
      </w:r>
      <w:r>
        <w:rPr>
          <w:rFonts w:ascii="Arial" w:hAnsi="Arial" w:cs="Arial"/>
        </w:rPr>
        <w:t>– Financial Case – Describes the affordability of the Scheme, including the cost and funding arrangements</w:t>
      </w:r>
    </w:p>
    <w:p w:rsidR="00FE25AB" w:rsidRDefault="00FE25AB">
      <w:pPr>
        <w:pStyle w:val="ListParagraph"/>
        <w:numPr>
          <w:ilvl w:val="0"/>
          <w:numId w:val="3"/>
        </w:numPr>
        <w:rPr>
          <w:rFonts w:ascii="Arial" w:hAnsi="Arial" w:cs="Arial"/>
        </w:rPr>
      </w:pPr>
      <w:r>
        <w:rPr>
          <w:rFonts w:ascii="Arial" w:hAnsi="Arial" w:cs="Arial"/>
          <w:b/>
          <w:bCs/>
        </w:rPr>
        <w:t>Section 5 –</w:t>
      </w:r>
      <w:r>
        <w:rPr>
          <w:rFonts w:ascii="Arial" w:hAnsi="Arial" w:cs="Arial"/>
        </w:rPr>
        <w:t xml:space="preserve"> Commercial Case – Provides evidence of the commercial viability of the Scheme and an expected procurement strategy</w:t>
      </w:r>
    </w:p>
    <w:p w:rsidR="00FE25AB" w:rsidRDefault="00FE25AB">
      <w:pPr>
        <w:pStyle w:val="ListParagraph"/>
        <w:numPr>
          <w:ilvl w:val="0"/>
          <w:numId w:val="3"/>
        </w:numPr>
        <w:rPr>
          <w:rFonts w:ascii="Arial" w:hAnsi="Arial" w:cs="Arial"/>
        </w:rPr>
      </w:pPr>
      <w:r>
        <w:rPr>
          <w:rFonts w:ascii="Arial" w:hAnsi="Arial" w:cs="Arial"/>
          <w:b/>
          <w:bCs/>
        </w:rPr>
        <w:t>Section 6 –</w:t>
      </w:r>
      <w:r>
        <w:rPr>
          <w:rFonts w:ascii="Arial" w:hAnsi="Arial" w:cs="Arial"/>
        </w:rPr>
        <w:t xml:space="preserve"> Management Case – Sets out how the delivery of the scheme will be managed, including programme and risk</w:t>
      </w:r>
    </w:p>
    <w:p w:rsidR="00FE25AB" w:rsidRDefault="00FE25AB">
      <w:pPr>
        <w:pStyle w:val="ListParagraph"/>
        <w:numPr>
          <w:ilvl w:val="0"/>
          <w:numId w:val="3"/>
        </w:numPr>
        <w:rPr>
          <w:rFonts w:ascii="Arial" w:hAnsi="Arial" w:cs="Arial"/>
        </w:rPr>
      </w:pPr>
      <w:r>
        <w:rPr>
          <w:rFonts w:ascii="Arial" w:hAnsi="Arial" w:cs="Arial"/>
          <w:b/>
          <w:bCs/>
        </w:rPr>
        <w:t xml:space="preserve">Section 7 – </w:t>
      </w:r>
      <w:r>
        <w:rPr>
          <w:rFonts w:ascii="Arial" w:hAnsi="Arial" w:cs="Arial"/>
        </w:rPr>
        <w:t>Conclusions – Presents a summary and conclusions of the Business Case</w:t>
      </w:r>
    </w:p>
    <w:p w:rsidR="00FE25AB" w:rsidRDefault="00FE25AB">
      <w:pPr>
        <w:ind w:left="0"/>
      </w:pPr>
      <w:r>
        <w:br w:type="page"/>
      </w:r>
    </w:p>
    <w:p w:rsidR="00FE25AB" w:rsidRDefault="00FE25AB">
      <w:pPr>
        <w:pStyle w:val="SectionHeading"/>
      </w:pPr>
      <w:r>
        <w:t>2.0</w:t>
      </w:r>
      <w:r>
        <w:tab/>
        <w:t>The Strategic Case</w:t>
      </w:r>
    </w:p>
    <w:p w:rsidR="00FE25AB" w:rsidRDefault="00FE25AB"/>
    <w:p w:rsidR="00FE25AB" w:rsidRDefault="00FE25AB">
      <w:pPr>
        <w:pStyle w:val="Subsection"/>
      </w:pPr>
      <w:r>
        <w:t>2.1</w:t>
      </w:r>
      <w:r>
        <w:tab/>
      </w:r>
      <w:proofErr w:type="spellStart"/>
      <w:r>
        <w:t>Strood</w:t>
      </w:r>
      <w:proofErr w:type="spellEnd"/>
      <w:r>
        <w:t xml:space="preserve"> Economy </w:t>
      </w:r>
    </w:p>
    <w:p w:rsidR="00FE25AB" w:rsidRDefault="00FE25AB"/>
    <w:p w:rsidR="00FE25AB" w:rsidRDefault="00FE25AB">
      <w:pPr>
        <w:rPr>
          <w:lang w:val="en-US"/>
        </w:rPr>
      </w:pPr>
      <w:proofErr w:type="spellStart"/>
      <w:r>
        <w:rPr>
          <w:lang w:val="en-US"/>
        </w:rPr>
        <w:t>Strood</w:t>
      </w:r>
      <w:proofErr w:type="spellEnd"/>
      <w:r>
        <w:rPr>
          <w:lang w:val="en-US"/>
        </w:rPr>
        <w:t xml:space="preserve"> suffers from significant deprivation, with weekly wages on average 5% lower than those in the South East region and; 4% lower than the average for Kent (2001 data).</w:t>
      </w:r>
    </w:p>
    <w:p w:rsidR="00FE25AB" w:rsidRDefault="00FE25AB">
      <w:pPr>
        <w:rPr>
          <w:lang w:val="en-US"/>
        </w:rPr>
      </w:pPr>
    </w:p>
    <w:p w:rsidR="00FE25AB" w:rsidRDefault="00FE25AB">
      <w:pPr>
        <w:rPr>
          <w:lang w:val="en-US"/>
        </w:rPr>
      </w:pPr>
      <w:proofErr w:type="spellStart"/>
      <w:r>
        <w:rPr>
          <w:lang w:val="en-US"/>
        </w:rPr>
        <w:t>Strood’s</w:t>
      </w:r>
      <w:proofErr w:type="spellEnd"/>
      <w:r>
        <w:rPr>
          <w:lang w:val="en-US"/>
        </w:rPr>
        <w:t xml:space="preserve"> unemployment rate is significantly higher than the regional/national average, with nearly a third of </w:t>
      </w:r>
      <w:proofErr w:type="spellStart"/>
      <w:r>
        <w:rPr>
          <w:lang w:val="en-US"/>
        </w:rPr>
        <w:t>Strood</w:t>
      </w:r>
      <w:proofErr w:type="spellEnd"/>
      <w:r>
        <w:rPr>
          <w:lang w:val="en-US"/>
        </w:rPr>
        <w:t xml:space="preserve"> employees working in low skilled operative and elementary occupations, in comparison with the 20% national average.</w:t>
      </w:r>
    </w:p>
    <w:p w:rsidR="00FE25AB" w:rsidRDefault="00FE25AB">
      <w:pPr>
        <w:rPr>
          <w:lang w:val="en-US"/>
        </w:rPr>
      </w:pPr>
    </w:p>
    <w:p w:rsidR="00FE25AB" w:rsidRDefault="00FE25AB">
      <w:r>
        <w:t xml:space="preserve">Average house prices in </w:t>
      </w:r>
      <w:proofErr w:type="spellStart"/>
      <w:r>
        <w:t>Strood</w:t>
      </w:r>
      <w:proofErr w:type="spellEnd"/>
      <w:r>
        <w:t xml:space="preserve"> are significantly below the national average at £198k against a national average of £280k</w:t>
      </w:r>
      <w:r>
        <w:rPr>
          <w:rStyle w:val="FootnoteReference"/>
          <w:rFonts w:ascii="Arial" w:hAnsi="Arial" w:cs="Arial"/>
        </w:rPr>
        <w:footnoteReference w:id="5"/>
      </w:r>
      <w:r>
        <w:t xml:space="preserve">. Average prices in nearby Rochester are £230k, and in Greater London are closer to £600k. </w:t>
      </w:r>
      <w:proofErr w:type="spellStart"/>
      <w:r>
        <w:t>Strood</w:t>
      </w:r>
      <w:proofErr w:type="spellEnd"/>
      <w:r>
        <w:t xml:space="preserve"> benefits from the HS1 rail link to Kings Cross St Pancras, enabling commuters to reach central London within 35 minutes. The very modest home prices within </w:t>
      </w:r>
      <w:proofErr w:type="spellStart"/>
      <w:r>
        <w:t>Strood</w:t>
      </w:r>
      <w:proofErr w:type="spellEnd"/>
      <w:r>
        <w:t xml:space="preserve"> are therefore indicative of the economic pressures and congested network environment, which gives a poor perception of the town as a place to live and work. </w:t>
      </w:r>
    </w:p>
    <w:p w:rsidR="00FE25AB" w:rsidRDefault="00FE25AB"/>
    <w:p w:rsidR="00FE25AB" w:rsidRDefault="00FE25AB">
      <w:pPr>
        <w:rPr>
          <w:lang w:val="en-US"/>
        </w:rPr>
      </w:pPr>
      <w:proofErr w:type="spellStart"/>
      <w:r>
        <w:rPr>
          <w:lang w:val="en-US"/>
        </w:rPr>
        <w:t>Strood</w:t>
      </w:r>
      <w:proofErr w:type="spellEnd"/>
      <w:r>
        <w:rPr>
          <w:lang w:val="en-US"/>
        </w:rPr>
        <w:t xml:space="preserve"> lies within the Thames Gateway, a designated area for the growth of new communities, with Medway highlighted in the Delivery Plan as a strategic location for investment. </w:t>
      </w:r>
    </w:p>
    <w:p w:rsidR="00FE25AB" w:rsidRDefault="00FE25AB"/>
    <w:p w:rsidR="00FE25AB" w:rsidRDefault="00FE25AB">
      <w:pPr>
        <w:pStyle w:val="Subsection"/>
      </w:pPr>
      <w:r>
        <w:t>2.2</w:t>
      </w:r>
      <w:r>
        <w:tab/>
        <w:t>Current Transport-Related Problems</w:t>
      </w:r>
    </w:p>
    <w:p w:rsidR="00FE25AB" w:rsidRDefault="00FE25AB"/>
    <w:p w:rsidR="00FE25AB" w:rsidRDefault="00FE25AB">
      <w:r>
        <w:t xml:space="preserve">The inefficient operation of the transport network around </w:t>
      </w:r>
      <w:proofErr w:type="spellStart"/>
      <w:r>
        <w:t>Strood</w:t>
      </w:r>
      <w:proofErr w:type="spellEnd"/>
      <w:r>
        <w:t xml:space="preserve"> town centre, along with the traffic generation and operational issues created by the nearby Medway City Estate, are a barrier to growth. </w:t>
      </w:r>
    </w:p>
    <w:p w:rsidR="00FE25AB" w:rsidRDefault="00FE25AB"/>
    <w:p w:rsidR="00FE25AB" w:rsidRDefault="00FE25AB">
      <w:proofErr w:type="spellStart"/>
      <w:r>
        <w:t>Strood</w:t>
      </w:r>
      <w:proofErr w:type="spellEnd"/>
      <w:r>
        <w:t xml:space="preserve"> town centre is at a cross-road between the A2 and A228 and as a result a significant amount of through traffic passes through the town centre. The town centre road layout is a one-way gyratory arrangement, resulting in additional trips around parts of the local road network with aggravated pockets of congestion around Knight Road, A2 High Street, Station Road and North Street. During peak times the network can lock-up.  In addition, there is a recognised lack of legibility between the original High Street and the adjacent new retail parks to the south that are now providing much of the retail offer in the town.</w:t>
      </w:r>
    </w:p>
    <w:p w:rsidR="00FE25AB" w:rsidRDefault="00FE25AB"/>
    <w:p w:rsidR="00FE25AB" w:rsidRDefault="00FE25AB">
      <w:r>
        <w:t xml:space="preserve">There are very limited facilities for cyclists, with no existing cycle lanes on the main routes through the town and no cycle routing plan or signing in place. Pedestrian routes lack coherence and consistency and the key route linking to the rail station has no sense of corridor or place, with pedestrians needing to cross numerous side roads and links to reach main destinations within the town.  </w:t>
      </w:r>
    </w:p>
    <w:p w:rsidR="00FE25AB" w:rsidRDefault="00FE25AB"/>
    <w:p w:rsidR="00FE25AB" w:rsidRDefault="00FE25AB">
      <w:r>
        <w:t xml:space="preserve">Network management improvements need to balance improving capacity to encourage growth, without encouraging trip diversion from the strategic highway network through </w:t>
      </w:r>
      <w:proofErr w:type="spellStart"/>
      <w:r>
        <w:t>Strood</w:t>
      </w:r>
      <w:proofErr w:type="spellEnd"/>
      <w:r>
        <w:t xml:space="preserve"> town centre. In addition, the network needs to maintain accessibility to promote retail employment in the Retail Park, High Street and local supermarkets.</w:t>
      </w:r>
    </w:p>
    <w:p w:rsidR="00FE25AB" w:rsidRDefault="00FE25AB"/>
    <w:p w:rsidR="00FE25AB" w:rsidRDefault="00FE25AB">
      <w:pPr>
        <w:rPr>
          <w:lang w:val="en-US"/>
        </w:rPr>
      </w:pPr>
      <w:r>
        <w:rPr>
          <w:lang w:val="en-US"/>
        </w:rPr>
        <w:t xml:space="preserve">Travel to work 2011 census data and accident data shows </w:t>
      </w:r>
      <w:proofErr w:type="spellStart"/>
      <w:r>
        <w:rPr>
          <w:lang w:val="en-US"/>
        </w:rPr>
        <w:t>Strood</w:t>
      </w:r>
      <w:proofErr w:type="spellEnd"/>
      <w:r>
        <w:rPr>
          <w:lang w:val="en-US"/>
        </w:rPr>
        <w:t xml:space="preserve"> and the Medway towns as a whole have high levels of car usage and a poor collision record, particularly those involving pedestrians and cyclists.</w:t>
      </w:r>
    </w:p>
    <w:p w:rsidR="00FE25AB" w:rsidRDefault="00FE25AB">
      <w:pPr>
        <w:rPr>
          <w:lang w:val="en-US"/>
        </w:rPr>
      </w:pPr>
    </w:p>
    <w:p w:rsidR="00FE25AB" w:rsidRDefault="00FE25AB">
      <w:pPr>
        <w:rPr>
          <w:lang w:val="en-US"/>
        </w:rPr>
      </w:pPr>
      <w:r>
        <w:rPr>
          <w:lang w:val="en-US"/>
        </w:rPr>
        <w:t xml:space="preserve">In </w:t>
      </w:r>
      <w:proofErr w:type="spellStart"/>
      <w:r>
        <w:rPr>
          <w:lang w:val="en-US"/>
        </w:rPr>
        <w:t>Strood</w:t>
      </w:r>
      <w:proofErr w:type="spellEnd"/>
      <w:r>
        <w:rPr>
          <w:lang w:val="en-US"/>
        </w:rPr>
        <w:t xml:space="preserve"> town </w:t>
      </w:r>
      <w:proofErr w:type="spellStart"/>
      <w:r>
        <w:rPr>
          <w:lang w:val="en-US"/>
        </w:rPr>
        <w:t>centre</w:t>
      </w:r>
      <w:proofErr w:type="spellEnd"/>
      <w:r>
        <w:rPr>
          <w:lang w:val="en-US"/>
        </w:rPr>
        <w:t xml:space="preserve"> 44% of the population travel to work by driving a car or van, 8% by train, bus, minibus or coach, 6% travel on foot and 1% cycle to work</w:t>
      </w:r>
      <w:r>
        <w:rPr>
          <w:rStyle w:val="FootnoteReference"/>
          <w:rFonts w:ascii="Arial" w:hAnsi="Arial" w:cs="Arial"/>
          <w:lang w:val="en-US"/>
        </w:rPr>
        <w:footnoteReference w:id="6"/>
      </w:r>
      <w:r>
        <w:rPr>
          <w:lang w:val="en-US"/>
        </w:rPr>
        <w:t xml:space="preserve">. This reflects that a very large proportion of people in the </w:t>
      </w:r>
      <w:proofErr w:type="spellStart"/>
      <w:r>
        <w:rPr>
          <w:lang w:val="en-US"/>
        </w:rPr>
        <w:t>Strood</w:t>
      </w:r>
      <w:proofErr w:type="spellEnd"/>
      <w:r>
        <w:rPr>
          <w:lang w:val="en-US"/>
        </w:rPr>
        <w:t xml:space="preserve"> area travel to work by car or van, with low numbers using public transport, walking or cycling. </w:t>
      </w:r>
    </w:p>
    <w:p w:rsidR="00FE25AB" w:rsidRDefault="00FE25AB">
      <w:pPr>
        <w:rPr>
          <w:lang w:val="en-US"/>
        </w:rPr>
      </w:pPr>
    </w:p>
    <w:p w:rsidR="00FE25AB" w:rsidRDefault="00FE25AB">
      <w:pPr>
        <w:rPr>
          <w:lang w:val="en-US"/>
        </w:rPr>
      </w:pPr>
      <w:r>
        <w:rPr>
          <w:lang w:val="en-US"/>
        </w:rPr>
        <w:t xml:space="preserve">With regard to distances travelled to work, 72% of people in </w:t>
      </w:r>
      <w:proofErr w:type="spellStart"/>
      <w:r>
        <w:rPr>
          <w:lang w:val="en-US"/>
        </w:rPr>
        <w:t>Strood</w:t>
      </w:r>
      <w:proofErr w:type="spellEnd"/>
      <w:r>
        <w:rPr>
          <w:lang w:val="en-US"/>
        </w:rPr>
        <w:t xml:space="preserve"> travel less than 20km to work. This figure is similar to the percentage for Medway, which shows 71% of the population travelling less than 20km. These figures highlight the fact that a large percentage of the working population in the area live close to their place of employment and thus could potentially </w:t>
      </w:r>
      <w:proofErr w:type="spellStart"/>
      <w:r>
        <w:rPr>
          <w:lang w:val="en-US"/>
        </w:rPr>
        <w:t>utilise</w:t>
      </w:r>
      <w:proofErr w:type="spellEnd"/>
      <w:r>
        <w:rPr>
          <w:lang w:val="en-US"/>
        </w:rPr>
        <w:t xml:space="preserve"> non-vehicular or public modes of transport to a greater extent than indicated. This suggests a current over-dependence on the car in the </w:t>
      </w:r>
      <w:proofErr w:type="spellStart"/>
      <w:r>
        <w:rPr>
          <w:lang w:val="en-US"/>
        </w:rPr>
        <w:t>Strood</w:t>
      </w:r>
      <w:proofErr w:type="spellEnd"/>
      <w:r>
        <w:rPr>
          <w:lang w:val="en-US"/>
        </w:rPr>
        <w:t xml:space="preserve"> and broader Medway area, and a need to encourage other modes of transport such as cycling and walking. </w:t>
      </w:r>
    </w:p>
    <w:p w:rsidR="00FE25AB" w:rsidRDefault="00FE25AB">
      <w:pPr>
        <w:rPr>
          <w:color w:val="FF0000"/>
          <w:lang w:val="en-US"/>
        </w:rPr>
      </w:pPr>
    </w:p>
    <w:p w:rsidR="00FE25AB" w:rsidRDefault="00FE25AB">
      <w:pPr>
        <w:pStyle w:val="Subsection"/>
        <w:rPr>
          <w:i/>
          <w:iCs/>
          <w:lang w:val="en-US"/>
        </w:rPr>
      </w:pPr>
      <w:r>
        <w:rPr>
          <w:i/>
          <w:iCs/>
          <w:lang w:val="en-US"/>
        </w:rPr>
        <w:t>2.2.1</w:t>
      </w:r>
      <w:r>
        <w:rPr>
          <w:i/>
          <w:iCs/>
          <w:lang w:val="en-US"/>
        </w:rPr>
        <w:tab/>
        <w:t>Impacts of Doing Nothing</w:t>
      </w:r>
    </w:p>
    <w:p w:rsidR="00FE25AB" w:rsidRDefault="00FE25AB">
      <w:pPr>
        <w:rPr>
          <w:lang w:val="en-US"/>
        </w:rPr>
      </w:pPr>
    </w:p>
    <w:p w:rsidR="00FE25AB" w:rsidRDefault="00FE25AB">
      <w:pPr>
        <w:rPr>
          <w:lang w:val="en-US"/>
        </w:rPr>
      </w:pPr>
      <w:r>
        <w:rPr>
          <w:lang w:val="en-US"/>
        </w:rPr>
        <w:t xml:space="preserve">The impact of doing nothing in </w:t>
      </w:r>
      <w:proofErr w:type="spellStart"/>
      <w:r>
        <w:rPr>
          <w:lang w:val="en-US"/>
        </w:rPr>
        <w:t>Strood</w:t>
      </w:r>
      <w:proofErr w:type="spellEnd"/>
      <w:r>
        <w:rPr>
          <w:lang w:val="en-US"/>
        </w:rPr>
        <w:t xml:space="preserve"> would be as follows:</w:t>
      </w:r>
    </w:p>
    <w:p w:rsidR="00FE25AB" w:rsidRDefault="00FE25AB">
      <w:pPr>
        <w:pStyle w:val="ListParagraph"/>
        <w:numPr>
          <w:ilvl w:val="0"/>
          <w:numId w:val="5"/>
        </w:numPr>
        <w:rPr>
          <w:rFonts w:ascii="Arial" w:hAnsi="Arial" w:cs="Arial"/>
          <w:lang w:val="en-US"/>
        </w:rPr>
      </w:pPr>
      <w:r>
        <w:rPr>
          <w:rFonts w:ascii="Arial" w:hAnsi="Arial" w:cs="Arial"/>
          <w:lang w:val="en-US"/>
        </w:rPr>
        <w:t>An increase in traffic volumes could be expected with a corresponding reduction in speeds resulting in:</w:t>
      </w:r>
    </w:p>
    <w:p w:rsidR="00FE25AB" w:rsidRDefault="00FE25AB">
      <w:pPr>
        <w:pStyle w:val="ListParagraph"/>
        <w:numPr>
          <w:ilvl w:val="1"/>
          <w:numId w:val="5"/>
        </w:numPr>
        <w:rPr>
          <w:rFonts w:ascii="Arial" w:hAnsi="Arial" w:cs="Arial"/>
          <w:lang w:val="en-US"/>
        </w:rPr>
      </w:pPr>
      <w:r>
        <w:rPr>
          <w:rFonts w:ascii="Arial" w:hAnsi="Arial" w:cs="Arial"/>
          <w:lang w:val="en-US"/>
        </w:rPr>
        <w:t xml:space="preserve">Poor accessibility between this and other urban </w:t>
      </w:r>
      <w:proofErr w:type="spellStart"/>
      <w:r>
        <w:rPr>
          <w:rFonts w:ascii="Arial" w:hAnsi="Arial" w:cs="Arial"/>
          <w:lang w:val="en-US"/>
        </w:rPr>
        <w:t>centres</w:t>
      </w:r>
      <w:proofErr w:type="spellEnd"/>
      <w:r>
        <w:rPr>
          <w:rFonts w:ascii="Arial" w:hAnsi="Arial" w:cs="Arial"/>
          <w:lang w:val="en-US"/>
        </w:rPr>
        <w:t xml:space="preserve"> in Medway;</w:t>
      </w:r>
    </w:p>
    <w:p w:rsidR="00FE25AB" w:rsidRDefault="00FE25AB">
      <w:pPr>
        <w:pStyle w:val="ListParagraph"/>
        <w:numPr>
          <w:ilvl w:val="1"/>
          <w:numId w:val="5"/>
        </w:numPr>
        <w:rPr>
          <w:rFonts w:ascii="Arial" w:hAnsi="Arial" w:cs="Arial"/>
          <w:lang w:val="en-US"/>
        </w:rPr>
      </w:pPr>
      <w:r>
        <w:rPr>
          <w:rFonts w:ascii="Arial" w:hAnsi="Arial" w:cs="Arial"/>
          <w:lang w:val="en-US"/>
        </w:rPr>
        <w:t>Increased congestion and worsening journey time reliability;</w:t>
      </w:r>
    </w:p>
    <w:p w:rsidR="00FE25AB" w:rsidRDefault="00FE25AB">
      <w:pPr>
        <w:pStyle w:val="ListParagraph"/>
        <w:numPr>
          <w:ilvl w:val="1"/>
          <w:numId w:val="5"/>
        </w:numPr>
        <w:rPr>
          <w:rFonts w:ascii="Arial" w:hAnsi="Arial" w:cs="Arial"/>
          <w:lang w:val="en-US"/>
        </w:rPr>
      </w:pPr>
      <w:r>
        <w:rPr>
          <w:rFonts w:ascii="Arial" w:hAnsi="Arial" w:cs="Arial"/>
          <w:lang w:val="en-US"/>
        </w:rPr>
        <w:t>Severance and further degradation of the public realm and environmental quality;</w:t>
      </w:r>
    </w:p>
    <w:p w:rsidR="00FE25AB" w:rsidRDefault="00FE25AB">
      <w:pPr>
        <w:pStyle w:val="ListParagraph"/>
        <w:numPr>
          <w:ilvl w:val="1"/>
          <w:numId w:val="5"/>
        </w:numPr>
        <w:rPr>
          <w:rFonts w:ascii="Arial" w:hAnsi="Arial" w:cs="Arial"/>
          <w:lang w:val="en-US"/>
        </w:rPr>
      </w:pPr>
      <w:r>
        <w:rPr>
          <w:rFonts w:ascii="Arial" w:hAnsi="Arial" w:cs="Arial"/>
          <w:lang w:val="en-US"/>
        </w:rPr>
        <w:t>Increased noise and reduced air quality;</w:t>
      </w:r>
    </w:p>
    <w:p w:rsidR="00FE25AB" w:rsidRDefault="00FE25AB">
      <w:pPr>
        <w:pStyle w:val="ListParagraph"/>
        <w:numPr>
          <w:ilvl w:val="0"/>
          <w:numId w:val="5"/>
        </w:numPr>
        <w:rPr>
          <w:rFonts w:ascii="Arial" w:hAnsi="Arial" w:cs="Arial"/>
          <w:lang w:val="en-US"/>
        </w:rPr>
      </w:pPr>
      <w:r>
        <w:rPr>
          <w:rFonts w:ascii="Arial" w:hAnsi="Arial" w:cs="Arial"/>
          <w:lang w:val="en-US"/>
        </w:rPr>
        <w:t xml:space="preserve">Further reduction in </w:t>
      </w:r>
      <w:proofErr w:type="spellStart"/>
      <w:r>
        <w:rPr>
          <w:rFonts w:ascii="Arial" w:hAnsi="Arial" w:cs="Arial"/>
          <w:lang w:val="en-US"/>
        </w:rPr>
        <w:t>Strood’s</w:t>
      </w:r>
      <w:proofErr w:type="spellEnd"/>
      <w:r>
        <w:rPr>
          <w:rFonts w:ascii="Arial" w:hAnsi="Arial" w:cs="Arial"/>
          <w:lang w:val="en-US"/>
        </w:rPr>
        <w:t xml:space="preserve"> attractiveness as a retail destination and local </w:t>
      </w:r>
      <w:proofErr w:type="spellStart"/>
      <w:r>
        <w:rPr>
          <w:rFonts w:ascii="Arial" w:hAnsi="Arial" w:cs="Arial"/>
          <w:lang w:val="en-US"/>
        </w:rPr>
        <w:t>centre</w:t>
      </w:r>
      <w:proofErr w:type="spellEnd"/>
      <w:r>
        <w:rPr>
          <w:rFonts w:ascii="Arial" w:hAnsi="Arial" w:cs="Arial"/>
          <w:lang w:val="en-US"/>
        </w:rPr>
        <w:t>;</w:t>
      </w:r>
    </w:p>
    <w:p w:rsidR="00FE25AB" w:rsidRDefault="00FE25AB">
      <w:pPr>
        <w:pStyle w:val="ListParagraph"/>
        <w:numPr>
          <w:ilvl w:val="0"/>
          <w:numId w:val="5"/>
        </w:numPr>
        <w:rPr>
          <w:rFonts w:ascii="Arial" w:hAnsi="Arial" w:cs="Arial"/>
          <w:lang w:val="en-US"/>
        </w:rPr>
      </w:pPr>
      <w:r>
        <w:rPr>
          <w:rFonts w:ascii="Arial" w:hAnsi="Arial" w:cs="Arial"/>
          <w:lang w:val="en-US"/>
        </w:rPr>
        <w:t>Less people taking up cycling or walking as their preferred mode, with consequent impacts on health and limited modal shift;</w:t>
      </w:r>
    </w:p>
    <w:p w:rsidR="00FE25AB" w:rsidRDefault="00FE25AB">
      <w:pPr>
        <w:pStyle w:val="ListParagraph"/>
        <w:numPr>
          <w:ilvl w:val="0"/>
          <w:numId w:val="5"/>
        </w:numPr>
        <w:rPr>
          <w:rFonts w:ascii="Arial" w:hAnsi="Arial" w:cs="Arial"/>
          <w:lang w:val="en-US"/>
        </w:rPr>
      </w:pPr>
      <w:r>
        <w:rPr>
          <w:rFonts w:ascii="Arial" w:hAnsi="Arial" w:cs="Arial"/>
          <w:lang w:val="en-US"/>
        </w:rPr>
        <w:t>Low land values constraining the feasibility, quantity and quality of development plans for housing and employment;</w:t>
      </w:r>
    </w:p>
    <w:p w:rsidR="00FE25AB" w:rsidRDefault="00FE25AB">
      <w:pPr>
        <w:pStyle w:val="ListParagraph"/>
        <w:numPr>
          <w:ilvl w:val="0"/>
          <w:numId w:val="5"/>
        </w:numPr>
        <w:rPr>
          <w:rFonts w:ascii="Arial" w:hAnsi="Arial" w:cs="Arial"/>
          <w:lang w:val="en-US"/>
        </w:rPr>
      </w:pPr>
      <w:r>
        <w:rPr>
          <w:rFonts w:ascii="Arial" w:hAnsi="Arial" w:cs="Arial"/>
          <w:lang w:val="en-US"/>
        </w:rPr>
        <w:t>No attraction for external home buyers, constraining the local economy and housing market.</w:t>
      </w:r>
    </w:p>
    <w:p w:rsidR="00FE25AB" w:rsidRDefault="00FE25AB">
      <w:pPr>
        <w:rPr>
          <w:lang w:val="en-US"/>
        </w:rPr>
      </w:pPr>
      <w:r>
        <w:rPr>
          <w:lang w:val="en-US"/>
        </w:rPr>
        <w:t xml:space="preserve">Section 2.4 describes how the scheme proposals would introduce specific measures to mitigate the issues set out above and address the likely impacts of “doing nothing” within </w:t>
      </w:r>
      <w:proofErr w:type="spellStart"/>
      <w:r>
        <w:rPr>
          <w:lang w:val="en-US"/>
        </w:rPr>
        <w:t>Strood</w:t>
      </w:r>
      <w:proofErr w:type="spellEnd"/>
      <w:r>
        <w:rPr>
          <w:lang w:val="en-US"/>
        </w:rPr>
        <w:t xml:space="preserve">. </w:t>
      </w:r>
    </w:p>
    <w:p w:rsidR="00FE25AB" w:rsidRDefault="00FE25AB">
      <w:pPr>
        <w:ind w:left="1080"/>
        <w:rPr>
          <w:lang w:val="en-US"/>
        </w:rPr>
      </w:pPr>
    </w:p>
    <w:p w:rsidR="00FE25AB" w:rsidRDefault="00FE25AB">
      <w:pPr>
        <w:pStyle w:val="Subsection"/>
      </w:pPr>
      <w:r>
        <w:t>2.3</w:t>
      </w:r>
      <w:r>
        <w:tab/>
        <w:t>Policy Context</w:t>
      </w:r>
    </w:p>
    <w:p w:rsidR="00FE25AB" w:rsidRDefault="00FE25AB">
      <w:pPr>
        <w:ind w:left="0"/>
      </w:pPr>
    </w:p>
    <w:p w:rsidR="00FE25AB" w:rsidRDefault="00FE25AB">
      <w:pPr>
        <w:pStyle w:val="ListParagraph"/>
        <w:numPr>
          <w:ilvl w:val="0"/>
          <w:numId w:val="4"/>
        </w:numPr>
        <w:rPr>
          <w:rFonts w:ascii="Arial" w:hAnsi="Arial" w:cs="Arial"/>
          <w:color w:val="E36C0A"/>
        </w:rPr>
      </w:pPr>
      <w:r>
        <w:t xml:space="preserve">The </w:t>
      </w:r>
      <w:hyperlink r:id="rId13" w:tooltip="Medway Local Transport Plan 3" w:history="1">
        <w:r>
          <w:t>Medway Local Transport Plan 3</w:t>
        </w:r>
      </w:hyperlink>
      <w:r>
        <w:t xml:space="preserve"> came into effect on 1 April 2011 following approval of Full Council. </w:t>
      </w:r>
    </w:p>
    <w:p w:rsidR="00FE25AB" w:rsidRDefault="00FE25AB">
      <w:r>
        <w:lastRenderedPageBreak/>
        <w:t>This scheme links closely to all the five priorities set out in Medway’s Local Transport Plan 2011/2026:</w:t>
      </w:r>
    </w:p>
    <w:p w:rsidR="00FE25AB" w:rsidRDefault="00FE25AB"/>
    <w:p w:rsidR="00FE25AB" w:rsidRDefault="00FE25AB">
      <w:pPr>
        <w:pStyle w:val="ListParagraph"/>
        <w:numPr>
          <w:ilvl w:val="0"/>
          <w:numId w:val="24"/>
        </w:numPr>
        <w:rPr>
          <w:rFonts w:ascii="Arial" w:hAnsi="Arial" w:cs="Arial"/>
        </w:rPr>
      </w:pPr>
      <w:r>
        <w:rPr>
          <w:rFonts w:ascii="Arial" w:hAnsi="Arial" w:cs="Arial"/>
        </w:rPr>
        <w:t>Regeneration, economic competitiveness and growth – by providing a more reliable and efficient local transport network. Key actions include more efficient management of the highway network, improvements to the strategic road network and encouraging walking and cycling for short journeys.</w:t>
      </w:r>
    </w:p>
    <w:p w:rsidR="00FE25AB" w:rsidRDefault="00FE25AB">
      <w:pPr>
        <w:pStyle w:val="ListParagraph"/>
        <w:numPr>
          <w:ilvl w:val="0"/>
          <w:numId w:val="25"/>
        </w:numPr>
        <w:rPr>
          <w:rFonts w:ascii="Arial" w:hAnsi="Arial" w:cs="Arial"/>
        </w:rPr>
      </w:pPr>
      <w:r>
        <w:rPr>
          <w:rFonts w:ascii="Arial" w:hAnsi="Arial" w:cs="Arial"/>
        </w:rPr>
        <w:t xml:space="preserve">Connectivity – by ensuring Medway has good quality transport connections to key markets and major conurbations in Kent and London. Key actions include the reconstruction of </w:t>
      </w:r>
      <w:proofErr w:type="spellStart"/>
      <w:r>
        <w:rPr>
          <w:rFonts w:ascii="Arial" w:hAnsi="Arial" w:cs="Arial"/>
        </w:rPr>
        <w:t>Strood</w:t>
      </w:r>
      <w:proofErr w:type="spellEnd"/>
      <w:r>
        <w:rPr>
          <w:rFonts w:ascii="Arial" w:hAnsi="Arial" w:cs="Arial"/>
        </w:rPr>
        <w:t xml:space="preserve"> railway station and encouraging commuters to cycle to railway stations.</w:t>
      </w:r>
    </w:p>
    <w:p w:rsidR="00FE25AB" w:rsidRDefault="00FE25AB">
      <w:pPr>
        <w:pStyle w:val="ListParagraph"/>
        <w:numPr>
          <w:ilvl w:val="0"/>
          <w:numId w:val="25"/>
        </w:numPr>
        <w:rPr>
          <w:rFonts w:ascii="Arial" w:hAnsi="Arial" w:cs="Arial"/>
        </w:rPr>
      </w:pPr>
      <w:r>
        <w:rPr>
          <w:rFonts w:ascii="Arial" w:hAnsi="Arial" w:cs="Arial"/>
        </w:rPr>
        <w:t>Natural environment – by contributing to tackling climate change and improving air quality. Key actions include encouraging walking and cycling for short journeys, and a more efficient management of the highway network.</w:t>
      </w:r>
    </w:p>
    <w:p w:rsidR="00FE25AB" w:rsidRDefault="00FE25AB">
      <w:pPr>
        <w:pStyle w:val="ListParagraph"/>
        <w:numPr>
          <w:ilvl w:val="0"/>
          <w:numId w:val="25"/>
        </w:numPr>
        <w:rPr>
          <w:rFonts w:ascii="Arial" w:hAnsi="Arial" w:cs="Arial"/>
        </w:rPr>
      </w:pPr>
      <w:r>
        <w:rPr>
          <w:rFonts w:ascii="Arial" w:hAnsi="Arial" w:cs="Arial"/>
        </w:rPr>
        <w:t>Equality of opportunity – by supporting equality of opportunity to access employment, education, goods and services for all residents of Medway. Key actions include improving pedestrian crossing facilities and accessibility to bus services for people with mobility difficulties.</w:t>
      </w:r>
    </w:p>
    <w:p w:rsidR="00FE25AB" w:rsidRDefault="00FE25AB">
      <w:pPr>
        <w:pStyle w:val="ListParagraph"/>
        <w:numPr>
          <w:ilvl w:val="0"/>
          <w:numId w:val="25"/>
        </w:numPr>
        <w:rPr>
          <w:rFonts w:ascii="Arial" w:hAnsi="Arial" w:cs="Arial"/>
        </w:rPr>
      </w:pPr>
      <w:r>
        <w:rPr>
          <w:rFonts w:ascii="Arial" w:hAnsi="Arial" w:cs="Arial"/>
        </w:rPr>
        <w:t>Safety, security and public health – by promoting active lifestyles and reducing the risk of death, injury or ill health or being the victim of crime. Key actions include road safety interventions, improved pedestrian access to local facilities and encouraging cycling.</w:t>
      </w:r>
    </w:p>
    <w:p w:rsidR="00FE25AB" w:rsidRDefault="00FE25AB">
      <w:r>
        <w:t xml:space="preserve">The South East Local Enterprise Partnership’s bid for Local Growth Funding reflected the aspirations set out in Medway’s LTP3, with the proposed funding and delivery plan defined within the shorter-term implementation plan. </w:t>
      </w:r>
    </w:p>
    <w:p w:rsidR="00FE25AB" w:rsidRDefault="00FE25AB"/>
    <w:p w:rsidR="00FE25AB" w:rsidRDefault="00FE25AB">
      <w:pPr>
        <w:pStyle w:val="ListParagraph"/>
        <w:spacing w:after="0" w:line="240" w:lineRule="auto"/>
        <w:rPr>
          <w:rFonts w:ascii="Arial" w:hAnsi="Arial" w:cs="Arial"/>
          <w:lang w:val="en-US"/>
        </w:rPr>
      </w:pPr>
      <w:r>
        <w:rPr>
          <w:rFonts w:ascii="Arial" w:hAnsi="Arial" w:cs="Arial"/>
          <w:lang w:val="en-US"/>
        </w:rPr>
        <w:t xml:space="preserve">The need for the project is supported by the national and regional regeneration agenda. It supports the growth agenda in the Thames Gateway Growth Area, with </w:t>
      </w:r>
      <w:proofErr w:type="spellStart"/>
      <w:r>
        <w:rPr>
          <w:rFonts w:ascii="Arial" w:hAnsi="Arial" w:cs="Arial"/>
          <w:lang w:val="en-US"/>
        </w:rPr>
        <w:t>Strood</w:t>
      </w:r>
      <w:proofErr w:type="spellEnd"/>
      <w:r>
        <w:rPr>
          <w:rFonts w:ascii="Arial" w:hAnsi="Arial" w:cs="Arial"/>
          <w:lang w:val="en-US"/>
        </w:rPr>
        <w:t xml:space="preserve"> being identified in the Thames Gateway Delivery Plan as a strategic location.</w:t>
      </w:r>
    </w:p>
    <w:p w:rsidR="00FE25AB" w:rsidRDefault="00FE25AB">
      <w:pPr>
        <w:rPr>
          <w:lang w:val="en-US"/>
        </w:rPr>
      </w:pPr>
    </w:p>
    <w:p w:rsidR="00FE25AB" w:rsidRDefault="00FE25AB">
      <w:r>
        <w:rPr>
          <w:i/>
          <w:iCs/>
          <w:w w:val="114"/>
        </w:rPr>
        <w:t>National</w:t>
      </w:r>
      <w:r>
        <w:rPr>
          <w:i/>
          <w:iCs/>
          <w:spacing w:val="-16"/>
          <w:w w:val="114"/>
        </w:rPr>
        <w:t xml:space="preserve"> </w:t>
      </w:r>
      <w:r>
        <w:rPr>
          <w:i/>
          <w:iCs/>
          <w:w w:val="114"/>
        </w:rPr>
        <w:t>Planning</w:t>
      </w:r>
      <w:r>
        <w:rPr>
          <w:i/>
          <w:iCs/>
          <w:spacing w:val="-1"/>
          <w:w w:val="114"/>
        </w:rPr>
        <w:t xml:space="preserve"> </w:t>
      </w:r>
      <w:r>
        <w:rPr>
          <w:i/>
          <w:iCs/>
          <w:w w:val="114"/>
        </w:rPr>
        <w:t>Policy</w:t>
      </w:r>
      <w:r>
        <w:rPr>
          <w:i/>
          <w:iCs/>
          <w:spacing w:val="1"/>
          <w:w w:val="114"/>
        </w:rPr>
        <w:t xml:space="preserve"> </w:t>
      </w:r>
      <w:r>
        <w:rPr>
          <w:i/>
          <w:iCs/>
          <w:w w:val="114"/>
        </w:rPr>
        <w:t>Framework</w:t>
      </w:r>
      <w:r>
        <w:rPr>
          <w:w w:val="114"/>
        </w:rPr>
        <w:t xml:space="preserve"> - </w:t>
      </w:r>
      <w:r>
        <w:t>In</w:t>
      </w:r>
      <w:r>
        <w:rPr>
          <w:spacing w:val="28"/>
        </w:rPr>
        <w:t xml:space="preserve"> </w:t>
      </w:r>
      <w:r>
        <w:t>March</w:t>
      </w:r>
      <w:r>
        <w:rPr>
          <w:spacing w:val="40"/>
        </w:rPr>
        <w:t xml:space="preserve"> </w:t>
      </w:r>
      <w:r>
        <w:t>2012,</w:t>
      </w:r>
      <w:r>
        <w:rPr>
          <w:spacing w:val="30"/>
        </w:rPr>
        <w:t xml:space="preserve"> </w:t>
      </w:r>
      <w:r>
        <w:t>the</w:t>
      </w:r>
      <w:r>
        <w:rPr>
          <w:spacing w:val="21"/>
        </w:rPr>
        <w:t xml:space="preserve"> </w:t>
      </w:r>
      <w:r>
        <w:t>Department</w:t>
      </w:r>
      <w:r>
        <w:rPr>
          <w:spacing w:val="50"/>
        </w:rPr>
        <w:t xml:space="preserve"> </w:t>
      </w:r>
      <w:r>
        <w:t>for</w:t>
      </w:r>
      <w:r>
        <w:rPr>
          <w:spacing w:val="18"/>
        </w:rPr>
        <w:t xml:space="preserve"> </w:t>
      </w:r>
      <w:r>
        <w:rPr>
          <w:w w:val="106"/>
        </w:rPr>
        <w:t>Communities</w:t>
      </w:r>
      <w:r>
        <w:rPr>
          <w:spacing w:val="-6"/>
          <w:w w:val="106"/>
        </w:rPr>
        <w:t xml:space="preserve"> </w:t>
      </w:r>
      <w:r>
        <w:t>and</w:t>
      </w:r>
      <w:r>
        <w:rPr>
          <w:spacing w:val="27"/>
        </w:rPr>
        <w:t xml:space="preserve"> </w:t>
      </w:r>
      <w:r>
        <w:t>Local</w:t>
      </w:r>
      <w:r>
        <w:rPr>
          <w:spacing w:val="35"/>
        </w:rPr>
        <w:t xml:space="preserve"> </w:t>
      </w:r>
      <w:r>
        <w:t>Government</w:t>
      </w:r>
      <w:r>
        <w:rPr>
          <w:spacing w:val="50"/>
        </w:rPr>
        <w:t xml:space="preserve"> </w:t>
      </w:r>
      <w:r>
        <w:rPr>
          <w:w w:val="107"/>
        </w:rPr>
        <w:t xml:space="preserve">published </w:t>
      </w:r>
      <w:r>
        <w:t>the ‘National</w:t>
      </w:r>
      <w:r>
        <w:rPr>
          <w:spacing w:val="1"/>
        </w:rPr>
        <w:t xml:space="preserve"> </w:t>
      </w:r>
      <w:r>
        <w:t>Planning</w:t>
      </w:r>
      <w:r>
        <w:rPr>
          <w:spacing w:val="41"/>
        </w:rPr>
        <w:t xml:space="preserve"> </w:t>
      </w:r>
      <w:r>
        <w:t>Policy</w:t>
      </w:r>
      <w:r>
        <w:rPr>
          <w:spacing w:val="25"/>
        </w:rPr>
        <w:t xml:space="preserve"> </w:t>
      </w:r>
      <w:r>
        <w:t xml:space="preserve">Framework </w:t>
      </w:r>
      <w:r>
        <w:rPr>
          <w:spacing w:val="2"/>
        </w:rPr>
        <w:t>(</w:t>
      </w:r>
      <w:r>
        <w:rPr>
          <w:w w:val="119"/>
        </w:rPr>
        <w:t>NPPF)</w:t>
      </w:r>
      <w:r>
        <w:rPr>
          <w:rStyle w:val="FootnoteReference"/>
          <w:rFonts w:ascii="Arial" w:hAnsi="Arial" w:cs="Arial"/>
          <w:color w:val="151513"/>
          <w:w w:val="119"/>
        </w:rPr>
        <w:footnoteReference w:id="7"/>
      </w:r>
      <w:r>
        <w:rPr>
          <w:w w:val="119"/>
        </w:rPr>
        <w:t>’,</w:t>
      </w:r>
      <w:r>
        <w:rPr>
          <w:spacing w:val="-11"/>
          <w:w w:val="119"/>
        </w:rPr>
        <w:t xml:space="preserve"> </w:t>
      </w:r>
      <w:r>
        <w:t>which</w:t>
      </w:r>
      <w:r>
        <w:rPr>
          <w:spacing w:val="25"/>
        </w:rPr>
        <w:t xml:space="preserve"> </w:t>
      </w:r>
      <w:r>
        <w:t>sets</w:t>
      </w:r>
      <w:r>
        <w:rPr>
          <w:spacing w:val="26"/>
        </w:rPr>
        <w:t xml:space="preserve"> </w:t>
      </w:r>
      <w:r>
        <w:t>out</w:t>
      </w:r>
      <w:r>
        <w:rPr>
          <w:spacing w:val="21"/>
        </w:rPr>
        <w:t xml:space="preserve"> </w:t>
      </w:r>
      <w:r>
        <w:t>the</w:t>
      </w:r>
      <w:r>
        <w:rPr>
          <w:spacing w:val="21"/>
        </w:rPr>
        <w:t xml:space="preserve"> </w:t>
      </w:r>
      <w:r>
        <w:rPr>
          <w:w w:val="106"/>
        </w:rPr>
        <w:t>Government's economic,</w:t>
      </w:r>
      <w:r>
        <w:rPr>
          <w:spacing w:val="11"/>
          <w:w w:val="106"/>
        </w:rPr>
        <w:t xml:space="preserve"> </w:t>
      </w:r>
      <w:r>
        <w:rPr>
          <w:w w:val="106"/>
        </w:rPr>
        <w:t>environmental</w:t>
      </w:r>
      <w:r>
        <w:rPr>
          <w:spacing w:val="-13"/>
          <w:w w:val="106"/>
        </w:rPr>
        <w:t xml:space="preserve"> </w:t>
      </w:r>
      <w:r>
        <w:t>and</w:t>
      </w:r>
      <w:r>
        <w:rPr>
          <w:spacing w:val="30"/>
        </w:rPr>
        <w:t xml:space="preserve"> </w:t>
      </w:r>
      <w:r>
        <w:t>social</w:t>
      </w:r>
      <w:r>
        <w:rPr>
          <w:spacing w:val="25"/>
        </w:rPr>
        <w:t xml:space="preserve"> </w:t>
      </w:r>
      <w:r>
        <w:t>planning</w:t>
      </w:r>
      <w:r>
        <w:rPr>
          <w:spacing w:val="52"/>
        </w:rPr>
        <w:t xml:space="preserve"> </w:t>
      </w:r>
      <w:r>
        <w:t>policies.</w:t>
      </w:r>
      <w:r>
        <w:rPr>
          <w:spacing w:val="32"/>
        </w:rPr>
        <w:t xml:space="preserve"> </w:t>
      </w:r>
      <w:r>
        <w:t>The</w:t>
      </w:r>
      <w:r>
        <w:rPr>
          <w:spacing w:val="29"/>
        </w:rPr>
        <w:t xml:space="preserve"> </w:t>
      </w:r>
      <w:r>
        <w:t>NPPF</w:t>
      </w:r>
      <w:r>
        <w:rPr>
          <w:spacing w:val="25"/>
        </w:rPr>
        <w:t xml:space="preserve"> </w:t>
      </w:r>
      <w:r>
        <w:t>aims</w:t>
      </w:r>
      <w:r>
        <w:rPr>
          <w:spacing w:val="25"/>
        </w:rPr>
        <w:t xml:space="preserve"> </w:t>
      </w:r>
      <w:r>
        <w:t>to</w:t>
      </w:r>
      <w:r>
        <w:rPr>
          <w:spacing w:val="18"/>
        </w:rPr>
        <w:t xml:space="preserve"> </w:t>
      </w:r>
      <w:r>
        <w:t>reform</w:t>
      </w:r>
      <w:r>
        <w:rPr>
          <w:spacing w:val="39"/>
        </w:rPr>
        <w:t xml:space="preserve"> </w:t>
      </w:r>
      <w:r>
        <w:rPr>
          <w:w w:val="105"/>
        </w:rPr>
        <w:t xml:space="preserve">the </w:t>
      </w:r>
      <w:r>
        <w:t xml:space="preserve">planning </w:t>
      </w:r>
      <w:r>
        <w:rPr>
          <w:spacing w:val="10"/>
        </w:rPr>
        <w:t>system</w:t>
      </w:r>
      <w:r>
        <w:rPr>
          <w:spacing w:val="31"/>
        </w:rPr>
        <w:t xml:space="preserve"> </w:t>
      </w:r>
      <w:r>
        <w:t>and</w:t>
      </w:r>
      <w:r>
        <w:rPr>
          <w:spacing w:val="27"/>
        </w:rPr>
        <w:t xml:space="preserve"> </w:t>
      </w:r>
      <w:r>
        <w:t>is</w:t>
      </w:r>
      <w:r>
        <w:rPr>
          <w:spacing w:val="7"/>
        </w:rPr>
        <w:t xml:space="preserve"> </w:t>
      </w:r>
      <w:r>
        <w:t xml:space="preserve">underpinned </w:t>
      </w:r>
      <w:r>
        <w:rPr>
          <w:spacing w:val="17"/>
        </w:rPr>
        <w:t>by</w:t>
      </w:r>
      <w:r>
        <w:rPr>
          <w:spacing w:val="13"/>
        </w:rPr>
        <w:t xml:space="preserve"> </w:t>
      </w:r>
      <w:r>
        <w:t>a</w:t>
      </w:r>
      <w:r>
        <w:rPr>
          <w:spacing w:val="14"/>
        </w:rPr>
        <w:t xml:space="preserve"> </w:t>
      </w:r>
      <w:r>
        <w:t xml:space="preserve">presumption </w:t>
      </w:r>
      <w:r>
        <w:rPr>
          <w:spacing w:val="3"/>
        </w:rPr>
        <w:t>in</w:t>
      </w:r>
      <w:r>
        <w:rPr>
          <w:spacing w:val="18"/>
        </w:rPr>
        <w:t xml:space="preserve"> </w:t>
      </w:r>
      <w:r>
        <w:t>favour</w:t>
      </w:r>
      <w:r>
        <w:rPr>
          <w:spacing w:val="30"/>
        </w:rPr>
        <w:t xml:space="preserve"> </w:t>
      </w:r>
      <w:r>
        <w:t>of</w:t>
      </w:r>
      <w:r>
        <w:rPr>
          <w:spacing w:val="12"/>
        </w:rPr>
        <w:t xml:space="preserve"> </w:t>
      </w:r>
      <w:r>
        <w:rPr>
          <w:w w:val="105"/>
        </w:rPr>
        <w:t xml:space="preserve">sustainable </w:t>
      </w:r>
      <w:r>
        <w:rPr>
          <w:w w:val="107"/>
        </w:rPr>
        <w:t>development.</w:t>
      </w:r>
      <w:r>
        <w:rPr>
          <w:spacing w:val="-8"/>
          <w:w w:val="107"/>
        </w:rPr>
        <w:t xml:space="preserve"> </w:t>
      </w:r>
      <w:r>
        <w:t>There</w:t>
      </w:r>
      <w:r>
        <w:rPr>
          <w:spacing w:val="34"/>
        </w:rPr>
        <w:t xml:space="preserve"> </w:t>
      </w:r>
      <w:r>
        <w:t>is</w:t>
      </w:r>
      <w:r>
        <w:rPr>
          <w:spacing w:val="9"/>
        </w:rPr>
        <w:t xml:space="preserve"> </w:t>
      </w:r>
      <w:r>
        <w:t>a</w:t>
      </w:r>
      <w:r>
        <w:rPr>
          <w:spacing w:val="7"/>
        </w:rPr>
        <w:t xml:space="preserve"> </w:t>
      </w:r>
      <w:r>
        <w:t>focus</w:t>
      </w:r>
      <w:r>
        <w:rPr>
          <w:spacing w:val="40"/>
        </w:rPr>
        <w:t xml:space="preserve"> </w:t>
      </w:r>
      <w:r>
        <w:t>on</w:t>
      </w:r>
      <w:r>
        <w:rPr>
          <w:spacing w:val="9"/>
        </w:rPr>
        <w:t xml:space="preserve"> </w:t>
      </w:r>
      <w:r>
        <w:t>planning</w:t>
      </w:r>
      <w:r>
        <w:rPr>
          <w:spacing w:val="53"/>
        </w:rPr>
        <w:t xml:space="preserve"> </w:t>
      </w:r>
      <w:r>
        <w:t>for</w:t>
      </w:r>
      <w:r>
        <w:rPr>
          <w:spacing w:val="24"/>
        </w:rPr>
        <w:t xml:space="preserve"> </w:t>
      </w:r>
      <w:r>
        <w:t>prosperity,</w:t>
      </w:r>
      <w:r>
        <w:rPr>
          <w:spacing w:val="47"/>
        </w:rPr>
        <w:t xml:space="preserve"> </w:t>
      </w:r>
      <w:r>
        <w:t>people</w:t>
      </w:r>
      <w:r>
        <w:rPr>
          <w:spacing w:val="40"/>
        </w:rPr>
        <w:t xml:space="preserve"> </w:t>
      </w:r>
      <w:r>
        <w:t>and</w:t>
      </w:r>
      <w:r>
        <w:rPr>
          <w:spacing w:val="23"/>
        </w:rPr>
        <w:t xml:space="preserve"> </w:t>
      </w:r>
      <w:r>
        <w:rPr>
          <w:w w:val="104"/>
        </w:rPr>
        <w:t xml:space="preserve">places, </w:t>
      </w:r>
      <w:r>
        <w:rPr>
          <w:w w:val="108"/>
        </w:rPr>
        <w:t xml:space="preserve">promoting </w:t>
      </w:r>
      <w:r>
        <w:t xml:space="preserve">increased </w:t>
      </w:r>
      <w:r>
        <w:rPr>
          <w:spacing w:val="6"/>
        </w:rPr>
        <w:t>levels</w:t>
      </w:r>
      <w:r>
        <w:rPr>
          <w:spacing w:val="27"/>
        </w:rPr>
        <w:t xml:space="preserve"> </w:t>
      </w:r>
      <w:r>
        <w:t>of</w:t>
      </w:r>
      <w:r>
        <w:rPr>
          <w:spacing w:val="17"/>
        </w:rPr>
        <w:t xml:space="preserve"> </w:t>
      </w:r>
      <w:r>
        <w:rPr>
          <w:w w:val="105"/>
        </w:rPr>
        <w:t>development</w:t>
      </w:r>
      <w:r>
        <w:rPr>
          <w:spacing w:val="11"/>
          <w:w w:val="105"/>
        </w:rPr>
        <w:t xml:space="preserve"> </w:t>
      </w:r>
      <w:r>
        <w:t>and</w:t>
      </w:r>
      <w:r>
        <w:rPr>
          <w:spacing w:val="28"/>
        </w:rPr>
        <w:t xml:space="preserve"> </w:t>
      </w:r>
      <w:r>
        <w:t>supporting</w:t>
      </w:r>
      <w:r>
        <w:rPr>
          <w:spacing w:val="55"/>
        </w:rPr>
        <w:t xml:space="preserve"> </w:t>
      </w:r>
      <w:r>
        <w:t>infrastructure,</w:t>
      </w:r>
      <w:r>
        <w:rPr>
          <w:spacing w:val="52"/>
        </w:rPr>
        <w:t xml:space="preserve"> </w:t>
      </w:r>
      <w:r>
        <w:t>whilst</w:t>
      </w:r>
      <w:r>
        <w:rPr>
          <w:spacing w:val="36"/>
        </w:rPr>
        <w:t xml:space="preserve"> </w:t>
      </w:r>
      <w:r>
        <w:rPr>
          <w:w w:val="106"/>
        </w:rPr>
        <w:t xml:space="preserve">also </w:t>
      </w:r>
      <w:r>
        <w:t xml:space="preserve">protecting </w:t>
      </w:r>
      <w:r>
        <w:rPr>
          <w:spacing w:val="12"/>
        </w:rPr>
        <w:t>and</w:t>
      </w:r>
      <w:r>
        <w:rPr>
          <w:spacing w:val="24"/>
        </w:rPr>
        <w:t xml:space="preserve"> </w:t>
      </w:r>
      <w:r>
        <w:t>enhancing the</w:t>
      </w:r>
      <w:r>
        <w:rPr>
          <w:spacing w:val="19"/>
        </w:rPr>
        <w:t xml:space="preserve"> </w:t>
      </w:r>
      <w:r>
        <w:t>natural</w:t>
      </w:r>
      <w:r>
        <w:rPr>
          <w:spacing w:val="27"/>
        </w:rPr>
        <w:t xml:space="preserve"> </w:t>
      </w:r>
      <w:r>
        <w:t>and</w:t>
      </w:r>
      <w:r>
        <w:rPr>
          <w:spacing w:val="28"/>
        </w:rPr>
        <w:t xml:space="preserve"> </w:t>
      </w:r>
      <w:r>
        <w:t>historic</w:t>
      </w:r>
      <w:r>
        <w:rPr>
          <w:spacing w:val="40"/>
        </w:rPr>
        <w:t xml:space="preserve"> </w:t>
      </w:r>
      <w:r>
        <w:rPr>
          <w:w w:val="106"/>
        </w:rPr>
        <w:t>environment.</w:t>
      </w:r>
    </w:p>
    <w:p w:rsidR="00FE25AB" w:rsidRDefault="00FE25AB"/>
    <w:p w:rsidR="00FE25AB" w:rsidRDefault="00FE25AB">
      <w:r>
        <w:rPr>
          <w:i/>
          <w:iCs/>
          <w:w w:val="116"/>
        </w:rPr>
        <w:t>Loca</w:t>
      </w:r>
      <w:r>
        <w:rPr>
          <w:i/>
          <w:iCs/>
          <w:spacing w:val="-13"/>
          <w:w w:val="116"/>
        </w:rPr>
        <w:t>l</w:t>
      </w:r>
      <w:r>
        <w:rPr>
          <w:i/>
          <w:iCs/>
          <w:w w:val="116"/>
        </w:rPr>
        <w:t>ism</w:t>
      </w:r>
      <w:r>
        <w:rPr>
          <w:i/>
          <w:iCs/>
          <w:spacing w:val="17"/>
          <w:w w:val="116"/>
        </w:rPr>
        <w:t xml:space="preserve"> </w:t>
      </w:r>
      <w:r>
        <w:rPr>
          <w:i/>
          <w:iCs/>
          <w:w w:val="116"/>
        </w:rPr>
        <w:t>Act</w:t>
      </w:r>
      <w:r>
        <w:rPr>
          <w:w w:val="116"/>
        </w:rPr>
        <w:t xml:space="preserve"> - </w:t>
      </w:r>
      <w:r>
        <w:t>The</w:t>
      </w:r>
      <w:r>
        <w:rPr>
          <w:spacing w:val="41"/>
        </w:rPr>
        <w:t xml:space="preserve"> </w:t>
      </w:r>
      <w:r>
        <w:t>Coalition</w:t>
      </w:r>
      <w:r>
        <w:rPr>
          <w:spacing w:val="40"/>
        </w:rPr>
        <w:t xml:space="preserve"> </w:t>
      </w:r>
      <w:r>
        <w:rPr>
          <w:w w:val="106"/>
        </w:rPr>
        <w:t>Government's</w:t>
      </w:r>
      <w:r>
        <w:rPr>
          <w:spacing w:val="2"/>
          <w:w w:val="106"/>
        </w:rPr>
        <w:t xml:space="preserve"> </w:t>
      </w:r>
      <w:r>
        <w:t>Localism</w:t>
      </w:r>
      <w:r>
        <w:rPr>
          <w:spacing w:val="49"/>
        </w:rPr>
        <w:t xml:space="preserve"> </w:t>
      </w:r>
      <w:r>
        <w:t>Ac</w:t>
      </w:r>
      <w:r>
        <w:rPr>
          <w:spacing w:val="-4"/>
        </w:rPr>
        <w:t>t</w:t>
      </w:r>
      <w:r>
        <w:rPr>
          <w:rStyle w:val="FootnoteReference"/>
          <w:rFonts w:ascii="Arial" w:hAnsi="Arial" w:cs="Arial"/>
          <w:color w:val="151513"/>
          <w:spacing w:val="-4"/>
        </w:rPr>
        <w:footnoteReference w:id="8"/>
      </w:r>
      <w:r>
        <w:rPr>
          <w:position w:val="9"/>
        </w:rPr>
        <w:t xml:space="preserve"> </w:t>
      </w:r>
      <w:r>
        <w:rPr>
          <w:spacing w:val="22"/>
          <w:position w:val="9"/>
        </w:rPr>
        <w:t xml:space="preserve"> </w:t>
      </w:r>
      <w:r>
        <w:t>provides</w:t>
      </w:r>
      <w:r>
        <w:rPr>
          <w:spacing w:val="53"/>
        </w:rPr>
        <w:t xml:space="preserve"> </w:t>
      </w:r>
      <w:r>
        <w:t>the</w:t>
      </w:r>
      <w:r>
        <w:rPr>
          <w:spacing w:val="19"/>
        </w:rPr>
        <w:t xml:space="preserve"> </w:t>
      </w:r>
      <w:r>
        <w:t>legislative</w:t>
      </w:r>
      <w:r>
        <w:rPr>
          <w:spacing w:val="44"/>
        </w:rPr>
        <w:t xml:space="preserve"> </w:t>
      </w:r>
      <w:r>
        <w:t>foundation</w:t>
      </w:r>
      <w:r>
        <w:rPr>
          <w:spacing w:val="47"/>
        </w:rPr>
        <w:t xml:space="preserve"> </w:t>
      </w:r>
      <w:r>
        <w:t>for</w:t>
      </w:r>
      <w:r>
        <w:rPr>
          <w:spacing w:val="25"/>
        </w:rPr>
        <w:t xml:space="preserve"> </w:t>
      </w:r>
      <w:r>
        <w:rPr>
          <w:w w:val="106"/>
        </w:rPr>
        <w:t xml:space="preserve">this </w:t>
      </w:r>
      <w:r>
        <w:t xml:space="preserve">change. </w:t>
      </w:r>
      <w:r>
        <w:rPr>
          <w:spacing w:val="14"/>
        </w:rPr>
        <w:t xml:space="preserve"> </w:t>
      </w:r>
      <w:r>
        <w:t>The</w:t>
      </w:r>
      <w:r>
        <w:rPr>
          <w:spacing w:val="25"/>
        </w:rPr>
        <w:t xml:space="preserve"> </w:t>
      </w:r>
      <w:r>
        <w:t>Act</w:t>
      </w:r>
      <w:r>
        <w:rPr>
          <w:spacing w:val="-4"/>
        </w:rPr>
        <w:t xml:space="preserve"> </w:t>
      </w:r>
      <w:r>
        <w:t xml:space="preserve">decentralises </w:t>
      </w:r>
      <w:r>
        <w:rPr>
          <w:spacing w:val="8"/>
        </w:rPr>
        <w:t>power</w:t>
      </w:r>
      <w:r>
        <w:t>,</w:t>
      </w:r>
      <w:r>
        <w:rPr>
          <w:spacing w:val="28"/>
        </w:rPr>
        <w:t xml:space="preserve"> </w:t>
      </w:r>
      <w:r>
        <w:t>giving</w:t>
      </w:r>
      <w:r>
        <w:rPr>
          <w:spacing w:val="39"/>
        </w:rPr>
        <w:t xml:space="preserve"> </w:t>
      </w:r>
      <w:r>
        <w:t>local</w:t>
      </w:r>
      <w:r>
        <w:rPr>
          <w:spacing w:val="20"/>
        </w:rPr>
        <w:t xml:space="preserve"> </w:t>
      </w:r>
      <w:r>
        <w:rPr>
          <w:w w:val="106"/>
        </w:rPr>
        <w:t>government</w:t>
      </w:r>
      <w:r>
        <w:rPr>
          <w:spacing w:val="9"/>
          <w:w w:val="106"/>
        </w:rPr>
        <w:t xml:space="preserve"> </w:t>
      </w:r>
      <w:r>
        <w:t>new</w:t>
      </w:r>
      <w:r>
        <w:rPr>
          <w:spacing w:val="20"/>
        </w:rPr>
        <w:t xml:space="preserve"> </w:t>
      </w:r>
      <w:r>
        <w:t>freedom</w:t>
      </w:r>
      <w:r>
        <w:rPr>
          <w:spacing w:val="42"/>
        </w:rPr>
        <w:t xml:space="preserve"> </w:t>
      </w:r>
      <w:r>
        <w:rPr>
          <w:w w:val="109"/>
        </w:rPr>
        <w:t xml:space="preserve">and </w:t>
      </w:r>
      <w:r>
        <w:rPr>
          <w:w w:val="107"/>
        </w:rPr>
        <w:t>flexibilities;</w:t>
      </w:r>
      <w:r>
        <w:rPr>
          <w:spacing w:val="1"/>
          <w:w w:val="107"/>
        </w:rPr>
        <w:t xml:space="preserve"> </w:t>
      </w:r>
      <w:r>
        <w:t>provides</w:t>
      </w:r>
      <w:r>
        <w:rPr>
          <w:spacing w:val="54"/>
        </w:rPr>
        <w:t xml:space="preserve"> </w:t>
      </w:r>
      <w:r>
        <w:t>new</w:t>
      </w:r>
      <w:r>
        <w:rPr>
          <w:spacing w:val="21"/>
        </w:rPr>
        <w:t xml:space="preserve"> </w:t>
      </w:r>
      <w:r>
        <w:t>rights</w:t>
      </w:r>
      <w:r>
        <w:rPr>
          <w:spacing w:val="35"/>
        </w:rPr>
        <w:t xml:space="preserve"> </w:t>
      </w:r>
      <w:r>
        <w:t>and</w:t>
      </w:r>
      <w:r>
        <w:rPr>
          <w:spacing w:val="20"/>
        </w:rPr>
        <w:t xml:space="preserve"> </w:t>
      </w:r>
      <w:r>
        <w:t>powers</w:t>
      </w:r>
      <w:r>
        <w:rPr>
          <w:spacing w:val="40"/>
        </w:rPr>
        <w:t xml:space="preserve"> </w:t>
      </w:r>
      <w:r>
        <w:t>for</w:t>
      </w:r>
      <w:r>
        <w:rPr>
          <w:spacing w:val="19"/>
        </w:rPr>
        <w:t xml:space="preserve"> </w:t>
      </w:r>
      <w:r>
        <w:rPr>
          <w:w w:val="106"/>
        </w:rPr>
        <w:t>communities</w:t>
      </w:r>
      <w:r>
        <w:rPr>
          <w:spacing w:val="-1"/>
          <w:w w:val="106"/>
        </w:rPr>
        <w:t xml:space="preserve"> </w:t>
      </w:r>
      <w:r>
        <w:t>and</w:t>
      </w:r>
      <w:r>
        <w:rPr>
          <w:spacing w:val="18"/>
        </w:rPr>
        <w:t xml:space="preserve"> </w:t>
      </w:r>
      <w:r>
        <w:t xml:space="preserve">individuals; </w:t>
      </w:r>
      <w:r>
        <w:rPr>
          <w:spacing w:val="4"/>
        </w:rPr>
        <w:t>reforms</w:t>
      </w:r>
      <w:r>
        <w:rPr>
          <w:w w:val="106"/>
        </w:rPr>
        <w:t xml:space="preserve"> </w:t>
      </w:r>
      <w:r>
        <w:t>the</w:t>
      </w:r>
      <w:r>
        <w:rPr>
          <w:spacing w:val="45"/>
        </w:rPr>
        <w:t xml:space="preserve"> </w:t>
      </w:r>
      <w:r>
        <w:t>planning</w:t>
      </w:r>
      <w:r>
        <w:rPr>
          <w:spacing w:val="50"/>
        </w:rPr>
        <w:t xml:space="preserve"> </w:t>
      </w:r>
      <w:r>
        <w:t>system;</w:t>
      </w:r>
      <w:r>
        <w:rPr>
          <w:spacing w:val="36"/>
        </w:rPr>
        <w:t xml:space="preserve"> </w:t>
      </w:r>
      <w:r>
        <w:t>and</w:t>
      </w:r>
      <w:r>
        <w:rPr>
          <w:spacing w:val="12"/>
        </w:rPr>
        <w:t xml:space="preserve"> </w:t>
      </w:r>
      <w:r>
        <w:t>enables</w:t>
      </w:r>
      <w:r>
        <w:rPr>
          <w:spacing w:val="49"/>
        </w:rPr>
        <w:t xml:space="preserve"> </w:t>
      </w:r>
      <w:r>
        <w:t>decisions</w:t>
      </w:r>
      <w:r>
        <w:rPr>
          <w:spacing w:val="53"/>
        </w:rPr>
        <w:t xml:space="preserve"> </w:t>
      </w:r>
      <w:r>
        <w:t>to</w:t>
      </w:r>
      <w:r>
        <w:rPr>
          <w:spacing w:val="27"/>
        </w:rPr>
        <w:t xml:space="preserve"> </w:t>
      </w:r>
      <w:r>
        <w:t>be</w:t>
      </w:r>
      <w:r>
        <w:rPr>
          <w:spacing w:val="10"/>
        </w:rPr>
        <w:t xml:space="preserve"> </w:t>
      </w:r>
      <w:r>
        <w:t>taken</w:t>
      </w:r>
      <w:r>
        <w:rPr>
          <w:spacing w:val="32"/>
        </w:rPr>
        <w:t xml:space="preserve"> </w:t>
      </w:r>
      <w:r>
        <w:rPr>
          <w:w w:val="105"/>
        </w:rPr>
        <w:t>locally.</w:t>
      </w:r>
    </w:p>
    <w:p w:rsidR="00FE25AB" w:rsidRDefault="00FE25AB"/>
    <w:p w:rsidR="00FE25AB" w:rsidRDefault="00FE25AB">
      <w:r>
        <w:rPr>
          <w:i/>
          <w:iCs/>
          <w:spacing w:val="-12"/>
          <w:w w:val="116"/>
        </w:rPr>
        <w:lastRenderedPageBreak/>
        <w:t>D</w:t>
      </w:r>
      <w:r>
        <w:rPr>
          <w:i/>
          <w:iCs/>
          <w:color w:val="363834"/>
          <w:w w:val="116"/>
        </w:rPr>
        <w:t>e</w:t>
      </w:r>
      <w:r>
        <w:rPr>
          <w:i/>
          <w:iCs/>
          <w:color w:val="363834"/>
          <w:spacing w:val="-5"/>
          <w:w w:val="116"/>
        </w:rPr>
        <w:t>p</w:t>
      </w:r>
      <w:r>
        <w:rPr>
          <w:i/>
          <w:iCs/>
          <w:w w:val="116"/>
        </w:rPr>
        <w:t>artm</w:t>
      </w:r>
      <w:r>
        <w:rPr>
          <w:i/>
          <w:iCs/>
          <w:color w:val="363834"/>
          <w:spacing w:val="1"/>
          <w:w w:val="116"/>
        </w:rPr>
        <w:t>e</w:t>
      </w:r>
      <w:r>
        <w:rPr>
          <w:i/>
          <w:iCs/>
          <w:w w:val="116"/>
        </w:rPr>
        <w:t>nt</w:t>
      </w:r>
      <w:r>
        <w:rPr>
          <w:i/>
          <w:iCs/>
          <w:spacing w:val="-3"/>
          <w:w w:val="116"/>
        </w:rPr>
        <w:t xml:space="preserve"> </w:t>
      </w:r>
      <w:r>
        <w:rPr>
          <w:i/>
          <w:iCs/>
          <w:spacing w:val="6"/>
        </w:rPr>
        <w:t>f</w:t>
      </w:r>
      <w:r>
        <w:rPr>
          <w:i/>
          <w:iCs/>
          <w:color w:val="363834"/>
        </w:rPr>
        <w:t>o</w:t>
      </w:r>
      <w:r>
        <w:rPr>
          <w:i/>
          <w:iCs/>
        </w:rPr>
        <w:t>r</w:t>
      </w:r>
      <w:r>
        <w:rPr>
          <w:i/>
          <w:iCs/>
          <w:spacing w:val="47"/>
        </w:rPr>
        <w:t xml:space="preserve"> </w:t>
      </w:r>
      <w:r>
        <w:rPr>
          <w:i/>
          <w:iCs/>
          <w:color w:val="363834"/>
          <w:w w:val="115"/>
        </w:rPr>
        <w:t>Tr</w:t>
      </w:r>
      <w:r>
        <w:rPr>
          <w:i/>
          <w:iCs/>
          <w:color w:val="363834"/>
          <w:spacing w:val="1"/>
          <w:w w:val="115"/>
        </w:rPr>
        <w:t>a</w:t>
      </w:r>
      <w:r>
        <w:rPr>
          <w:i/>
          <w:iCs/>
          <w:w w:val="115"/>
        </w:rPr>
        <w:t>nsport's</w:t>
      </w:r>
      <w:r>
        <w:rPr>
          <w:i/>
          <w:iCs/>
          <w:spacing w:val="10"/>
          <w:w w:val="115"/>
        </w:rPr>
        <w:t xml:space="preserve"> </w:t>
      </w:r>
      <w:r>
        <w:rPr>
          <w:i/>
          <w:iCs/>
          <w:color w:val="363834"/>
          <w:spacing w:val="-6"/>
          <w:w w:val="115"/>
        </w:rPr>
        <w:t>B</w:t>
      </w:r>
      <w:r>
        <w:rPr>
          <w:i/>
          <w:iCs/>
          <w:w w:val="115"/>
        </w:rPr>
        <w:t>usiness</w:t>
      </w:r>
      <w:r>
        <w:rPr>
          <w:i/>
          <w:iCs/>
          <w:spacing w:val="8"/>
          <w:w w:val="115"/>
        </w:rPr>
        <w:t xml:space="preserve"> </w:t>
      </w:r>
      <w:r>
        <w:rPr>
          <w:i/>
          <w:iCs/>
          <w:w w:val="115"/>
        </w:rPr>
        <w:t>Plan</w:t>
      </w:r>
      <w:r>
        <w:rPr>
          <w:rStyle w:val="FootnoteReference"/>
          <w:rFonts w:ascii="Arial" w:hAnsi="Arial" w:cs="Arial"/>
          <w:w w:val="115"/>
        </w:rPr>
        <w:footnoteReference w:id="9"/>
      </w:r>
      <w:r>
        <w:rPr>
          <w:w w:val="115"/>
        </w:rPr>
        <w:t xml:space="preserve"> - </w:t>
      </w:r>
      <w:r>
        <w:rPr>
          <w:color w:val="151513"/>
        </w:rPr>
        <w:t>The</w:t>
      </w:r>
      <w:r>
        <w:rPr>
          <w:color w:val="151513"/>
          <w:spacing w:val="42"/>
        </w:rPr>
        <w:t xml:space="preserve"> </w:t>
      </w:r>
      <w:r>
        <w:rPr>
          <w:color w:val="151513"/>
        </w:rPr>
        <w:t>Coalition</w:t>
      </w:r>
      <w:r>
        <w:rPr>
          <w:color w:val="151513"/>
          <w:spacing w:val="40"/>
        </w:rPr>
        <w:t xml:space="preserve"> </w:t>
      </w:r>
      <w:r>
        <w:rPr>
          <w:color w:val="151513"/>
          <w:w w:val="106"/>
        </w:rPr>
        <w:t>Government's</w:t>
      </w:r>
      <w:r>
        <w:rPr>
          <w:color w:val="151513"/>
          <w:spacing w:val="-1"/>
          <w:w w:val="106"/>
        </w:rPr>
        <w:t xml:space="preserve"> </w:t>
      </w:r>
      <w:r>
        <w:rPr>
          <w:color w:val="151513"/>
        </w:rPr>
        <w:t>vision</w:t>
      </w:r>
      <w:r>
        <w:rPr>
          <w:color w:val="151513"/>
          <w:spacing w:val="30"/>
        </w:rPr>
        <w:t xml:space="preserve"> </w:t>
      </w:r>
      <w:r>
        <w:rPr>
          <w:color w:val="151513"/>
        </w:rPr>
        <w:t>for</w:t>
      </w:r>
      <w:r>
        <w:rPr>
          <w:color w:val="151513"/>
          <w:spacing w:val="17"/>
        </w:rPr>
        <w:t xml:space="preserve"> </w:t>
      </w:r>
      <w:r>
        <w:rPr>
          <w:color w:val="151513"/>
        </w:rPr>
        <w:t>transport is</w:t>
      </w:r>
      <w:r>
        <w:rPr>
          <w:color w:val="151513"/>
          <w:spacing w:val="18"/>
        </w:rPr>
        <w:t xml:space="preserve"> </w:t>
      </w:r>
      <w:r>
        <w:rPr>
          <w:color w:val="151513"/>
        </w:rPr>
        <w:t>also</w:t>
      </w:r>
      <w:r>
        <w:rPr>
          <w:color w:val="151513"/>
          <w:spacing w:val="26"/>
        </w:rPr>
        <w:t xml:space="preserve"> </w:t>
      </w:r>
      <w:r>
        <w:rPr>
          <w:color w:val="151513"/>
        </w:rPr>
        <w:t>one</w:t>
      </w:r>
      <w:r>
        <w:rPr>
          <w:color w:val="151513"/>
          <w:spacing w:val="26"/>
        </w:rPr>
        <w:t xml:space="preserve"> </w:t>
      </w:r>
      <w:r>
        <w:rPr>
          <w:color w:val="151513"/>
        </w:rPr>
        <w:t>that</w:t>
      </w:r>
      <w:r>
        <w:rPr>
          <w:color w:val="151513"/>
          <w:spacing w:val="15"/>
        </w:rPr>
        <w:t xml:space="preserve"> </w:t>
      </w:r>
      <w:r>
        <w:rPr>
          <w:color w:val="151513"/>
        </w:rPr>
        <w:t>encourages</w:t>
      </w:r>
      <w:r>
        <w:rPr>
          <w:color w:val="151513"/>
          <w:spacing w:val="55"/>
        </w:rPr>
        <w:t xml:space="preserve"> </w:t>
      </w:r>
      <w:r>
        <w:rPr>
          <w:color w:val="151513"/>
          <w:w w:val="107"/>
        </w:rPr>
        <w:t>growth</w:t>
      </w:r>
      <w:r>
        <w:rPr>
          <w:color w:val="363834"/>
          <w:spacing w:val="7"/>
          <w:w w:val="72"/>
        </w:rPr>
        <w:t xml:space="preserve"> </w:t>
      </w:r>
      <w:r>
        <w:rPr>
          <w:color w:val="151513"/>
        </w:rPr>
        <w:t>but</w:t>
      </w:r>
      <w:r>
        <w:rPr>
          <w:color w:val="151513"/>
          <w:spacing w:val="42"/>
        </w:rPr>
        <w:t xml:space="preserve"> </w:t>
      </w:r>
      <w:r>
        <w:rPr>
          <w:color w:val="151513"/>
        </w:rPr>
        <w:t>is</w:t>
      </w:r>
      <w:r>
        <w:rPr>
          <w:color w:val="151513"/>
          <w:spacing w:val="14"/>
        </w:rPr>
        <w:t xml:space="preserve"> </w:t>
      </w:r>
      <w:r>
        <w:rPr>
          <w:color w:val="151513"/>
        </w:rPr>
        <w:t>greener,</w:t>
      </w:r>
      <w:r>
        <w:rPr>
          <w:color w:val="151513"/>
          <w:spacing w:val="42"/>
        </w:rPr>
        <w:t xml:space="preserve"> </w:t>
      </w:r>
      <w:r>
        <w:rPr>
          <w:color w:val="151513"/>
        </w:rPr>
        <w:t>safer</w:t>
      </w:r>
      <w:r>
        <w:rPr>
          <w:color w:val="151513"/>
          <w:spacing w:val="28"/>
        </w:rPr>
        <w:t xml:space="preserve"> </w:t>
      </w:r>
      <w:r>
        <w:rPr>
          <w:color w:val="151513"/>
        </w:rPr>
        <w:t>and</w:t>
      </w:r>
      <w:r>
        <w:rPr>
          <w:color w:val="151513"/>
          <w:spacing w:val="16"/>
        </w:rPr>
        <w:t xml:space="preserve"> </w:t>
      </w:r>
      <w:r>
        <w:rPr>
          <w:color w:val="151513"/>
        </w:rPr>
        <w:t>improves</w:t>
      </w:r>
      <w:r>
        <w:rPr>
          <w:color w:val="151513"/>
          <w:spacing w:val="49"/>
        </w:rPr>
        <w:t xml:space="preserve"> </w:t>
      </w:r>
      <w:r>
        <w:rPr>
          <w:color w:val="151513"/>
        </w:rPr>
        <w:t>the</w:t>
      </w:r>
      <w:r>
        <w:rPr>
          <w:color w:val="151513"/>
          <w:spacing w:val="21"/>
        </w:rPr>
        <w:t xml:space="preserve"> </w:t>
      </w:r>
      <w:r>
        <w:rPr>
          <w:color w:val="151513"/>
        </w:rPr>
        <w:t>quality</w:t>
      </w:r>
      <w:r>
        <w:rPr>
          <w:color w:val="151513"/>
          <w:spacing w:val="38"/>
        </w:rPr>
        <w:t xml:space="preserve"> </w:t>
      </w:r>
      <w:r>
        <w:rPr>
          <w:color w:val="151513"/>
        </w:rPr>
        <w:t>of</w:t>
      </w:r>
      <w:r>
        <w:rPr>
          <w:color w:val="151513"/>
          <w:spacing w:val="10"/>
        </w:rPr>
        <w:t xml:space="preserve"> </w:t>
      </w:r>
      <w:r>
        <w:rPr>
          <w:color w:val="151513"/>
        </w:rPr>
        <w:t>life</w:t>
      </w:r>
      <w:r>
        <w:rPr>
          <w:color w:val="151513"/>
          <w:spacing w:val="20"/>
        </w:rPr>
        <w:t xml:space="preserve"> </w:t>
      </w:r>
      <w:r>
        <w:rPr>
          <w:color w:val="151513"/>
        </w:rPr>
        <w:t>in</w:t>
      </w:r>
      <w:r>
        <w:rPr>
          <w:color w:val="151513"/>
          <w:spacing w:val="12"/>
        </w:rPr>
        <w:t xml:space="preserve"> </w:t>
      </w:r>
      <w:r>
        <w:rPr>
          <w:color w:val="151513"/>
        </w:rPr>
        <w:t>our</w:t>
      </w:r>
      <w:r>
        <w:rPr>
          <w:color w:val="151513"/>
          <w:spacing w:val="23"/>
        </w:rPr>
        <w:t xml:space="preserve"> </w:t>
      </w:r>
      <w:r>
        <w:rPr>
          <w:color w:val="151513"/>
        </w:rPr>
        <w:t xml:space="preserve">communities.  </w:t>
      </w:r>
      <w:r>
        <w:rPr>
          <w:color w:val="151513"/>
          <w:w w:val="106"/>
        </w:rPr>
        <w:t xml:space="preserve">The </w:t>
      </w:r>
      <w:r>
        <w:rPr>
          <w:color w:val="151513"/>
          <w:w w:val="108"/>
        </w:rPr>
        <w:t>Go</w:t>
      </w:r>
      <w:r>
        <w:rPr>
          <w:color w:val="151513"/>
          <w:spacing w:val="-1"/>
          <w:w w:val="108"/>
        </w:rPr>
        <w:t>v</w:t>
      </w:r>
      <w:r>
        <w:rPr>
          <w:color w:val="363834"/>
          <w:spacing w:val="-4"/>
          <w:w w:val="108"/>
        </w:rPr>
        <w:t>e</w:t>
      </w:r>
      <w:r>
        <w:rPr>
          <w:color w:val="151513"/>
          <w:w w:val="108"/>
        </w:rPr>
        <w:t>rnment's</w:t>
      </w:r>
      <w:r>
        <w:rPr>
          <w:color w:val="151513"/>
          <w:spacing w:val="7"/>
          <w:w w:val="108"/>
        </w:rPr>
        <w:t xml:space="preserve"> </w:t>
      </w:r>
      <w:r>
        <w:rPr>
          <w:color w:val="151513"/>
        </w:rPr>
        <w:t>transport</w:t>
      </w:r>
      <w:r>
        <w:rPr>
          <w:color w:val="151513"/>
          <w:spacing w:val="40"/>
        </w:rPr>
        <w:t xml:space="preserve"> </w:t>
      </w:r>
      <w:r>
        <w:rPr>
          <w:color w:val="151513"/>
        </w:rPr>
        <w:t>priorities</w:t>
      </w:r>
      <w:r>
        <w:rPr>
          <w:color w:val="151513"/>
          <w:spacing w:val="48"/>
        </w:rPr>
        <w:t xml:space="preserve"> </w:t>
      </w:r>
      <w:r>
        <w:rPr>
          <w:color w:val="151513"/>
        </w:rPr>
        <w:t>and</w:t>
      </w:r>
      <w:r>
        <w:rPr>
          <w:color w:val="151513"/>
          <w:spacing w:val="21"/>
        </w:rPr>
        <w:t xml:space="preserve"> </w:t>
      </w:r>
      <w:r>
        <w:rPr>
          <w:color w:val="151513"/>
        </w:rPr>
        <w:t>key</w:t>
      </w:r>
      <w:r>
        <w:rPr>
          <w:color w:val="151513"/>
          <w:spacing w:val="29"/>
        </w:rPr>
        <w:t xml:space="preserve"> </w:t>
      </w:r>
      <w:r>
        <w:rPr>
          <w:color w:val="151513"/>
        </w:rPr>
        <w:t>actions</w:t>
      </w:r>
      <w:r>
        <w:rPr>
          <w:color w:val="151513"/>
          <w:spacing w:val="37"/>
        </w:rPr>
        <w:t xml:space="preserve"> </w:t>
      </w:r>
      <w:r>
        <w:rPr>
          <w:color w:val="151513"/>
        </w:rPr>
        <w:t>in</w:t>
      </w:r>
      <w:r>
        <w:rPr>
          <w:color w:val="151513"/>
          <w:spacing w:val="9"/>
        </w:rPr>
        <w:t xml:space="preserve"> </w:t>
      </w:r>
      <w:r>
        <w:rPr>
          <w:color w:val="151513"/>
        </w:rPr>
        <w:t>order</w:t>
      </w:r>
      <w:r>
        <w:rPr>
          <w:color w:val="151513"/>
          <w:spacing w:val="33"/>
        </w:rPr>
        <w:t xml:space="preserve"> </w:t>
      </w:r>
      <w:r>
        <w:rPr>
          <w:color w:val="151513"/>
        </w:rPr>
        <w:t>to</w:t>
      </w:r>
      <w:r>
        <w:rPr>
          <w:color w:val="151513"/>
          <w:spacing w:val="19"/>
        </w:rPr>
        <w:t xml:space="preserve"> </w:t>
      </w:r>
      <w:r>
        <w:rPr>
          <w:color w:val="151513"/>
        </w:rPr>
        <w:t>deliver</w:t>
      </w:r>
      <w:r>
        <w:rPr>
          <w:color w:val="151513"/>
          <w:spacing w:val="34"/>
        </w:rPr>
        <w:t xml:space="preserve"> </w:t>
      </w:r>
      <w:r>
        <w:rPr>
          <w:color w:val="151513"/>
        </w:rPr>
        <w:t>this</w:t>
      </w:r>
      <w:r>
        <w:rPr>
          <w:color w:val="151513"/>
          <w:spacing w:val="18"/>
        </w:rPr>
        <w:t xml:space="preserve"> </w:t>
      </w:r>
      <w:r>
        <w:rPr>
          <w:color w:val="151513"/>
          <w:w w:val="106"/>
        </w:rPr>
        <w:t xml:space="preserve">national </w:t>
      </w:r>
      <w:r>
        <w:rPr>
          <w:color w:val="151513"/>
        </w:rPr>
        <w:t>vision</w:t>
      </w:r>
      <w:r>
        <w:rPr>
          <w:color w:val="151513"/>
          <w:spacing w:val="54"/>
        </w:rPr>
        <w:t xml:space="preserve"> </w:t>
      </w:r>
      <w:r>
        <w:rPr>
          <w:color w:val="151513"/>
        </w:rPr>
        <w:t>are</w:t>
      </w:r>
      <w:r>
        <w:rPr>
          <w:color w:val="151513"/>
          <w:spacing w:val="19"/>
        </w:rPr>
        <w:t xml:space="preserve"> </w:t>
      </w:r>
      <w:r>
        <w:rPr>
          <w:color w:val="151513"/>
        </w:rPr>
        <w:t>set</w:t>
      </w:r>
      <w:r>
        <w:rPr>
          <w:color w:val="151513"/>
          <w:spacing w:val="24"/>
        </w:rPr>
        <w:t xml:space="preserve"> </w:t>
      </w:r>
      <w:r>
        <w:rPr>
          <w:color w:val="151513"/>
        </w:rPr>
        <w:t>out</w:t>
      </w:r>
      <w:r>
        <w:rPr>
          <w:color w:val="151513"/>
          <w:spacing w:val="18"/>
        </w:rPr>
        <w:t xml:space="preserve"> </w:t>
      </w:r>
      <w:r>
        <w:rPr>
          <w:color w:val="151513"/>
        </w:rPr>
        <w:t>within</w:t>
      </w:r>
      <w:r>
        <w:rPr>
          <w:color w:val="151513"/>
          <w:spacing w:val="25"/>
        </w:rPr>
        <w:t xml:space="preserve"> </w:t>
      </w:r>
      <w:r>
        <w:rPr>
          <w:color w:val="151513"/>
        </w:rPr>
        <w:t>the</w:t>
      </w:r>
      <w:r>
        <w:rPr>
          <w:color w:val="151513"/>
          <w:spacing w:val="27"/>
        </w:rPr>
        <w:t xml:space="preserve"> </w:t>
      </w:r>
      <w:r>
        <w:rPr>
          <w:color w:val="151513"/>
        </w:rPr>
        <w:t>Department</w:t>
      </w:r>
      <w:r>
        <w:rPr>
          <w:color w:val="151513"/>
          <w:spacing w:val="55"/>
        </w:rPr>
        <w:t xml:space="preserve"> </w:t>
      </w:r>
      <w:r>
        <w:rPr>
          <w:color w:val="151513"/>
        </w:rPr>
        <w:t>for</w:t>
      </w:r>
      <w:r>
        <w:rPr>
          <w:color w:val="151513"/>
          <w:spacing w:val="9"/>
        </w:rPr>
        <w:t xml:space="preserve"> </w:t>
      </w:r>
      <w:r>
        <w:rPr>
          <w:color w:val="151513"/>
          <w:w w:val="107"/>
        </w:rPr>
        <w:t>Transport's</w:t>
      </w:r>
      <w:r>
        <w:rPr>
          <w:color w:val="151513"/>
          <w:spacing w:val="-3"/>
          <w:w w:val="107"/>
        </w:rPr>
        <w:t xml:space="preserve"> </w:t>
      </w:r>
      <w:r>
        <w:rPr>
          <w:color w:val="151513"/>
        </w:rPr>
        <w:t>Business</w:t>
      </w:r>
      <w:r>
        <w:rPr>
          <w:color w:val="151513"/>
          <w:spacing w:val="39"/>
        </w:rPr>
        <w:t xml:space="preserve"> </w:t>
      </w:r>
      <w:r>
        <w:rPr>
          <w:color w:val="151513"/>
        </w:rPr>
        <w:t>Pla</w:t>
      </w:r>
      <w:r>
        <w:rPr>
          <w:color w:val="151513"/>
          <w:spacing w:val="1"/>
        </w:rPr>
        <w:t>n</w:t>
      </w:r>
      <w:r>
        <w:rPr>
          <w:color w:val="151513"/>
          <w:w w:val="148"/>
        </w:rPr>
        <w:t>.</w:t>
      </w:r>
    </w:p>
    <w:p w:rsidR="00FE25AB" w:rsidRDefault="00FE25AB">
      <w:pPr>
        <w:rPr>
          <w:lang w:val="en-US"/>
        </w:rPr>
      </w:pPr>
    </w:p>
    <w:p w:rsidR="00FE25AB" w:rsidRDefault="00FE25AB">
      <w:pPr>
        <w:pStyle w:val="Subsection"/>
      </w:pPr>
      <w:r>
        <w:t>2.4</w:t>
      </w:r>
      <w:r>
        <w:tab/>
        <w:t>Scheme Objectives &amp; Success Criteria</w:t>
      </w:r>
    </w:p>
    <w:p w:rsidR="00FE25AB" w:rsidRDefault="00FE25AB">
      <w:pPr>
        <w:pStyle w:val="Subsection"/>
      </w:pPr>
    </w:p>
    <w:p w:rsidR="00FE25AB" w:rsidRDefault="00FE25AB">
      <w:pPr>
        <w:rPr>
          <w:lang w:val="en-US"/>
        </w:rPr>
      </w:pPr>
      <w:r>
        <w:rPr>
          <w:lang w:val="en-US"/>
        </w:rPr>
        <w:t xml:space="preserve">By improving the accessibility and circulation within the town </w:t>
      </w:r>
      <w:proofErr w:type="spellStart"/>
      <w:r>
        <w:rPr>
          <w:lang w:val="en-US"/>
        </w:rPr>
        <w:t>centre</w:t>
      </w:r>
      <w:proofErr w:type="spellEnd"/>
      <w:r>
        <w:rPr>
          <w:lang w:val="en-US"/>
        </w:rPr>
        <w:t xml:space="preserve"> and helping bring about modal shift through the creation of better and sustainable networks, the project will help secure improved environmental conditions and act as a catalyst to help increase the potential capacity of existing development sites, as well as bringing forward new development opportunities.</w:t>
      </w:r>
    </w:p>
    <w:p w:rsidR="00FE25AB" w:rsidRDefault="00FE25AB">
      <w:pPr>
        <w:rPr>
          <w:lang w:val="en-US"/>
        </w:rPr>
      </w:pPr>
    </w:p>
    <w:p w:rsidR="00FE25AB" w:rsidRDefault="00FE25AB">
      <w:pPr>
        <w:rPr>
          <w:lang w:val="en-US"/>
        </w:rPr>
      </w:pPr>
      <w:r>
        <w:rPr>
          <w:lang w:val="en-US"/>
        </w:rPr>
        <w:t xml:space="preserve">It is anticipated that the introduction of new residents and the creation of new jobs will create an economic impact which will help address the deprivation within </w:t>
      </w:r>
      <w:proofErr w:type="spellStart"/>
      <w:r>
        <w:rPr>
          <w:lang w:val="en-US"/>
        </w:rPr>
        <w:t>Strood’s</w:t>
      </w:r>
      <w:proofErr w:type="spellEnd"/>
      <w:r>
        <w:rPr>
          <w:lang w:val="en-US"/>
        </w:rPr>
        <w:t xml:space="preserve"> immediate environs, where four Lower Super Output Areas fall within the 20% most deprived nationally in terms of living environment, reflecting poor housing conditions and low levels of environmental quality relating to air quality and traffic in </w:t>
      </w:r>
      <w:proofErr w:type="spellStart"/>
      <w:r>
        <w:rPr>
          <w:lang w:val="en-US"/>
        </w:rPr>
        <w:t>Strood</w:t>
      </w:r>
      <w:proofErr w:type="spellEnd"/>
      <w:r>
        <w:rPr>
          <w:lang w:val="en-US"/>
        </w:rPr>
        <w:t>.</w:t>
      </w:r>
    </w:p>
    <w:p w:rsidR="00FE25AB" w:rsidRDefault="00FE25AB">
      <w:pPr>
        <w:rPr>
          <w:lang w:val="en-US"/>
        </w:rPr>
      </w:pPr>
    </w:p>
    <w:p w:rsidR="00FE25AB" w:rsidRDefault="00FE25AB">
      <w:pPr>
        <w:rPr>
          <w:lang w:val="en-US"/>
        </w:rPr>
      </w:pPr>
      <w:r>
        <w:rPr>
          <w:lang w:val="en-US"/>
        </w:rPr>
        <w:t xml:space="preserve">The creation of new jobs in the area will also help to alleviate the issues in </w:t>
      </w:r>
      <w:proofErr w:type="spellStart"/>
      <w:r>
        <w:rPr>
          <w:lang w:val="en-US"/>
        </w:rPr>
        <w:t>Strood</w:t>
      </w:r>
      <w:proofErr w:type="spellEnd"/>
      <w:r>
        <w:rPr>
          <w:lang w:val="en-US"/>
        </w:rPr>
        <w:t xml:space="preserve"> relating to higher than average unemployment which stands at 2% above the national level, and lower than average wages which are 5% below the average in the South East region. These factors are also interlinked with the relatively low skill levels found in </w:t>
      </w:r>
      <w:proofErr w:type="spellStart"/>
      <w:r>
        <w:rPr>
          <w:lang w:val="en-US"/>
        </w:rPr>
        <w:t>Strood</w:t>
      </w:r>
      <w:proofErr w:type="spellEnd"/>
      <w:r>
        <w:rPr>
          <w:lang w:val="en-US"/>
        </w:rPr>
        <w:t xml:space="preserve"> which show very few people are qualified to level 4/5 (12%) compared to 22% in the South East. Diversifying the area’s economy and increasing levels of investment will help to improve this.</w:t>
      </w:r>
    </w:p>
    <w:p w:rsidR="00FE25AB" w:rsidRDefault="00FE25AB">
      <w:pPr>
        <w:rPr>
          <w:lang w:val="en-US"/>
        </w:rPr>
      </w:pPr>
    </w:p>
    <w:p w:rsidR="00FE25AB" w:rsidRDefault="00FE25AB">
      <w:pPr>
        <w:rPr>
          <w:lang w:val="en-US"/>
        </w:rPr>
      </w:pPr>
      <w:r>
        <w:rPr>
          <w:lang w:val="en-US"/>
        </w:rPr>
        <w:t xml:space="preserve">The Project is also expected to help diversify the town’s employment base, which is currently </w:t>
      </w:r>
      <w:proofErr w:type="spellStart"/>
      <w:r>
        <w:rPr>
          <w:lang w:val="en-US"/>
        </w:rPr>
        <w:t>characterised</w:t>
      </w:r>
      <w:proofErr w:type="spellEnd"/>
      <w:r>
        <w:rPr>
          <w:lang w:val="en-US"/>
        </w:rPr>
        <w:t xml:space="preserve"> by nearly a third of </w:t>
      </w:r>
      <w:proofErr w:type="spellStart"/>
      <w:r>
        <w:rPr>
          <w:lang w:val="en-US"/>
        </w:rPr>
        <w:t>Strood’s</w:t>
      </w:r>
      <w:proofErr w:type="spellEnd"/>
      <w:r>
        <w:rPr>
          <w:lang w:val="en-US"/>
        </w:rPr>
        <w:t xml:space="preserve"> workforce being engaged in Operative and Elementary occupations, in comparison with 17% for the South East as a whole.</w:t>
      </w:r>
    </w:p>
    <w:p w:rsidR="00FE25AB" w:rsidRDefault="00FE25AB">
      <w:pPr>
        <w:rPr>
          <w:lang w:val="en-US"/>
        </w:rPr>
      </w:pPr>
    </w:p>
    <w:p w:rsidR="00FE25AB" w:rsidRDefault="00FE25AB">
      <w:pPr>
        <w:rPr>
          <w:w w:val="105"/>
        </w:rPr>
      </w:pPr>
      <w:r>
        <w:t>The</w:t>
      </w:r>
      <w:r>
        <w:rPr>
          <w:spacing w:val="34"/>
        </w:rPr>
        <w:t xml:space="preserve"> </w:t>
      </w:r>
      <w:r>
        <w:t>objective</w:t>
      </w:r>
      <w:r>
        <w:rPr>
          <w:spacing w:val="41"/>
        </w:rPr>
        <w:t xml:space="preserve"> </w:t>
      </w:r>
      <w:r>
        <w:t>setting</w:t>
      </w:r>
      <w:r>
        <w:rPr>
          <w:spacing w:val="25"/>
        </w:rPr>
        <w:t xml:space="preserve"> </w:t>
      </w:r>
      <w:r>
        <w:t>and</w:t>
      </w:r>
      <w:r>
        <w:rPr>
          <w:spacing w:val="16"/>
        </w:rPr>
        <w:t xml:space="preserve"> </w:t>
      </w:r>
      <w:r>
        <w:t xml:space="preserve">infrastructure </w:t>
      </w:r>
      <w:r>
        <w:rPr>
          <w:spacing w:val="7"/>
        </w:rPr>
        <w:t>prioritisation</w:t>
      </w:r>
      <w:r>
        <w:t xml:space="preserve"> </w:t>
      </w:r>
      <w:r>
        <w:rPr>
          <w:spacing w:val="6"/>
        </w:rPr>
        <w:t>process</w:t>
      </w:r>
      <w:r>
        <w:rPr>
          <w:spacing w:val="53"/>
        </w:rPr>
        <w:t xml:space="preserve"> </w:t>
      </w:r>
      <w:r>
        <w:t>began</w:t>
      </w:r>
      <w:r>
        <w:rPr>
          <w:spacing w:val="22"/>
        </w:rPr>
        <w:t xml:space="preserve"> </w:t>
      </w:r>
      <w:r>
        <w:t>with</w:t>
      </w:r>
      <w:r>
        <w:rPr>
          <w:spacing w:val="15"/>
        </w:rPr>
        <w:t xml:space="preserve"> </w:t>
      </w:r>
      <w:r>
        <w:rPr>
          <w:w w:val="102"/>
        </w:rPr>
        <w:t xml:space="preserve">the </w:t>
      </w:r>
      <w:r>
        <w:rPr>
          <w:w w:val="105"/>
        </w:rPr>
        <w:t>development</w:t>
      </w:r>
      <w:r>
        <w:rPr>
          <w:spacing w:val="15"/>
          <w:w w:val="105"/>
        </w:rPr>
        <w:t xml:space="preserve"> </w:t>
      </w:r>
      <w:r>
        <w:t>of</w:t>
      </w:r>
      <w:r>
        <w:rPr>
          <w:spacing w:val="6"/>
        </w:rPr>
        <w:t xml:space="preserve"> </w:t>
      </w:r>
      <w:r>
        <w:t>a</w:t>
      </w:r>
      <w:r>
        <w:rPr>
          <w:spacing w:val="10"/>
        </w:rPr>
        <w:t xml:space="preserve"> </w:t>
      </w:r>
      <w:r>
        <w:t>bespoke</w:t>
      </w:r>
      <w:r>
        <w:rPr>
          <w:spacing w:val="41"/>
        </w:rPr>
        <w:t xml:space="preserve"> </w:t>
      </w:r>
      <w:r>
        <w:t xml:space="preserve">Infrastructure </w:t>
      </w:r>
      <w:r>
        <w:rPr>
          <w:spacing w:val="6"/>
        </w:rPr>
        <w:t>Appraisal</w:t>
      </w:r>
      <w:r>
        <w:rPr>
          <w:spacing w:val="37"/>
        </w:rPr>
        <w:t xml:space="preserve"> </w:t>
      </w:r>
      <w:r>
        <w:t>Tool</w:t>
      </w:r>
      <w:r>
        <w:rPr>
          <w:spacing w:val="24"/>
        </w:rPr>
        <w:t xml:space="preserve"> </w:t>
      </w:r>
      <w:r>
        <w:t>which</w:t>
      </w:r>
      <w:r>
        <w:rPr>
          <w:spacing w:val="46"/>
        </w:rPr>
        <w:t xml:space="preserve"> </w:t>
      </w:r>
      <w:r>
        <w:t>was</w:t>
      </w:r>
      <w:r>
        <w:rPr>
          <w:spacing w:val="19"/>
        </w:rPr>
        <w:t xml:space="preserve"> </w:t>
      </w:r>
      <w:r>
        <w:t>used</w:t>
      </w:r>
      <w:r>
        <w:rPr>
          <w:spacing w:val="24"/>
        </w:rPr>
        <w:t xml:space="preserve"> </w:t>
      </w:r>
      <w:r>
        <w:t>to</w:t>
      </w:r>
      <w:r>
        <w:rPr>
          <w:spacing w:val="4"/>
        </w:rPr>
        <w:t xml:space="preserve"> </w:t>
      </w:r>
      <w:r>
        <w:rPr>
          <w:w w:val="109"/>
        </w:rPr>
        <w:t xml:space="preserve">assess, </w:t>
      </w:r>
      <w:r>
        <w:t>and</w:t>
      </w:r>
      <w:r>
        <w:rPr>
          <w:spacing w:val="30"/>
        </w:rPr>
        <w:t xml:space="preserve"> </w:t>
      </w:r>
      <w:r>
        <w:t>filter</w:t>
      </w:r>
      <w:r>
        <w:rPr>
          <w:spacing w:val="23"/>
        </w:rPr>
        <w:t xml:space="preserve"> </w:t>
      </w:r>
      <w:r>
        <w:t xml:space="preserve">approximately </w:t>
      </w:r>
      <w:r>
        <w:rPr>
          <w:spacing w:val="8"/>
        </w:rPr>
        <w:t>70</w:t>
      </w:r>
      <w:r>
        <w:rPr>
          <w:spacing w:val="12"/>
        </w:rPr>
        <w:t xml:space="preserve"> </w:t>
      </w:r>
      <w:r>
        <w:t>schemes</w:t>
      </w:r>
      <w:r>
        <w:rPr>
          <w:spacing w:val="44"/>
        </w:rPr>
        <w:t xml:space="preserve"> </w:t>
      </w:r>
      <w:r>
        <w:t>across</w:t>
      </w:r>
      <w:r>
        <w:rPr>
          <w:spacing w:val="42"/>
        </w:rPr>
        <w:t xml:space="preserve"> </w:t>
      </w:r>
      <w:r>
        <w:t>the</w:t>
      </w:r>
      <w:r>
        <w:rPr>
          <w:spacing w:val="14"/>
        </w:rPr>
        <w:t xml:space="preserve"> </w:t>
      </w:r>
      <w:r>
        <w:t>County</w:t>
      </w:r>
      <w:r>
        <w:rPr>
          <w:spacing w:val="36"/>
        </w:rPr>
        <w:t xml:space="preserve"> </w:t>
      </w:r>
      <w:r>
        <w:t xml:space="preserve">against </w:t>
      </w:r>
      <w:proofErr w:type="spellStart"/>
      <w:r>
        <w:rPr>
          <w:spacing w:val="1"/>
        </w:rPr>
        <w:t>DfT</w:t>
      </w:r>
      <w:proofErr w:type="spellEnd"/>
      <w:r>
        <w:t>,</w:t>
      </w:r>
      <w:r>
        <w:rPr>
          <w:spacing w:val="14"/>
        </w:rPr>
        <w:t xml:space="preserve"> </w:t>
      </w:r>
      <w:r>
        <w:t>BTVLEP</w:t>
      </w:r>
      <w:r>
        <w:rPr>
          <w:spacing w:val="23"/>
        </w:rPr>
        <w:t xml:space="preserve"> </w:t>
      </w:r>
      <w:r>
        <w:rPr>
          <w:w w:val="112"/>
        </w:rPr>
        <w:t xml:space="preserve">and </w:t>
      </w:r>
      <w:r>
        <w:t>BCC</w:t>
      </w:r>
      <w:r>
        <w:rPr>
          <w:spacing w:val="34"/>
        </w:rPr>
        <w:t xml:space="preserve"> </w:t>
      </w:r>
      <w:r>
        <w:rPr>
          <w:w w:val="105"/>
        </w:rPr>
        <w:t>objectives.</w:t>
      </w:r>
    </w:p>
    <w:p w:rsidR="00FE25AB" w:rsidRDefault="00FE25AB"/>
    <w:p w:rsidR="00FE25AB" w:rsidRDefault="00FE25AB">
      <w:pPr>
        <w:rPr>
          <w:spacing w:val="47"/>
        </w:rPr>
      </w:pPr>
      <w:r>
        <w:t>The</w:t>
      </w:r>
      <w:r>
        <w:rPr>
          <w:spacing w:val="50"/>
        </w:rPr>
        <w:t xml:space="preserve"> </w:t>
      </w:r>
      <w:r>
        <w:t xml:space="preserve">transport </w:t>
      </w:r>
      <w:r>
        <w:rPr>
          <w:spacing w:val="14"/>
        </w:rPr>
        <w:t>improvements</w:t>
      </w:r>
      <w:r>
        <w:rPr>
          <w:color w:val="050503"/>
          <w:spacing w:val="4"/>
          <w:w w:val="107"/>
        </w:rPr>
        <w:t xml:space="preserve"> </w:t>
      </w:r>
      <w:r>
        <w:rPr>
          <w:w w:val="107"/>
        </w:rPr>
        <w:t>associated</w:t>
      </w:r>
      <w:r>
        <w:rPr>
          <w:spacing w:val="-3"/>
          <w:w w:val="107"/>
        </w:rPr>
        <w:t xml:space="preserve"> </w:t>
      </w:r>
      <w:r>
        <w:t>with</w:t>
      </w:r>
      <w:r>
        <w:rPr>
          <w:spacing w:val="22"/>
        </w:rPr>
        <w:t xml:space="preserve"> </w:t>
      </w:r>
      <w:r>
        <w:t>the</w:t>
      </w:r>
      <w:r>
        <w:rPr>
          <w:spacing w:val="28"/>
        </w:rPr>
        <w:t xml:space="preserve"> </w:t>
      </w:r>
      <w:r>
        <w:rPr>
          <w:color w:val="050503"/>
          <w:w w:val="108"/>
        </w:rPr>
        <w:t>interventions</w:t>
      </w:r>
      <w:r>
        <w:rPr>
          <w:color w:val="050503"/>
          <w:spacing w:val="-3"/>
          <w:w w:val="108"/>
        </w:rPr>
        <w:t xml:space="preserve"> </w:t>
      </w:r>
      <w:r>
        <w:t>would</w:t>
      </w:r>
      <w:r>
        <w:rPr>
          <w:spacing w:val="45"/>
        </w:rPr>
        <w:t xml:space="preserve"> </w:t>
      </w:r>
      <w:r>
        <w:t>result</w:t>
      </w:r>
      <w:r>
        <w:rPr>
          <w:spacing w:val="46"/>
        </w:rPr>
        <w:t xml:space="preserve"> </w:t>
      </w:r>
      <w:r>
        <w:rPr>
          <w:color w:val="050503"/>
        </w:rPr>
        <w:t>in</w:t>
      </w:r>
      <w:r>
        <w:rPr>
          <w:color w:val="050503"/>
          <w:spacing w:val="16"/>
        </w:rPr>
        <w:t xml:space="preserve"> </w:t>
      </w:r>
      <w:r>
        <w:t>a</w:t>
      </w:r>
      <w:r>
        <w:rPr>
          <w:spacing w:val="18"/>
        </w:rPr>
        <w:t xml:space="preserve"> </w:t>
      </w:r>
      <w:r>
        <w:rPr>
          <w:w w:val="111"/>
        </w:rPr>
        <w:t xml:space="preserve">range </w:t>
      </w:r>
      <w:r>
        <w:t>of</w:t>
      </w:r>
      <w:r>
        <w:rPr>
          <w:spacing w:val="37"/>
        </w:rPr>
        <w:t xml:space="preserve"> </w:t>
      </w:r>
      <w:r>
        <w:rPr>
          <w:w w:val="110"/>
        </w:rPr>
        <w:t>measurable</w:t>
      </w:r>
      <w:r>
        <w:rPr>
          <w:spacing w:val="-2"/>
          <w:w w:val="110"/>
        </w:rPr>
        <w:t xml:space="preserve"> </w:t>
      </w:r>
      <w:r>
        <w:rPr>
          <w:color w:val="050503"/>
        </w:rPr>
        <w:t xml:space="preserve">impacts </w:t>
      </w:r>
      <w:r>
        <w:rPr>
          <w:color w:val="050503"/>
          <w:spacing w:val="3"/>
        </w:rPr>
        <w:t>on</w:t>
      </w:r>
      <w:r>
        <w:rPr>
          <w:spacing w:val="24"/>
        </w:rPr>
        <w:t xml:space="preserve"> </w:t>
      </w:r>
      <w:r>
        <w:t>traffic</w:t>
      </w:r>
      <w:r>
        <w:rPr>
          <w:spacing w:val="43"/>
        </w:rPr>
        <w:t xml:space="preserve"> </w:t>
      </w:r>
      <w:r>
        <w:t>and</w:t>
      </w:r>
      <w:r>
        <w:rPr>
          <w:spacing w:val="31"/>
        </w:rPr>
        <w:t xml:space="preserve"> </w:t>
      </w:r>
      <w:r>
        <w:t>travel</w:t>
      </w:r>
      <w:r>
        <w:rPr>
          <w:spacing w:val="30"/>
        </w:rPr>
        <w:t xml:space="preserve"> </w:t>
      </w:r>
      <w:r>
        <w:rPr>
          <w:w w:val="108"/>
        </w:rPr>
        <w:t>conditions</w:t>
      </w:r>
      <w:r>
        <w:rPr>
          <w:spacing w:val="1"/>
          <w:w w:val="108"/>
        </w:rPr>
        <w:t xml:space="preserve"> </w:t>
      </w:r>
      <w:r>
        <w:t>within</w:t>
      </w:r>
      <w:r>
        <w:rPr>
          <w:spacing w:val="39"/>
        </w:rPr>
        <w:t xml:space="preserve"> </w:t>
      </w:r>
      <w:r>
        <w:t>the</w:t>
      </w:r>
      <w:r>
        <w:rPr>
          <w:spacing w:val="32"/>
        </w:rPr>
        <w:t xml:space="preserve"> </w:t>
      </w:r>
      <w:r>
        <w:t>town</w:t>
      </w:r>
      <w:r>
        <w:rPr>
          <w:spacing w:val="27"/>
        </w:rPr>
        <w:t xml:space="preserve"> </w:t>
      </w:r>
      <w:r>
        <w:t>centre.</w:t>
      </w:r>
      <w:r>
        <w:rPr>
          <w:spacing w:val="47"/>
        </w:rPr>
        <w:t xml:space="preserve"> </w:t>
      </w:r>
    </w:p>
    <w:p w:rsidR="00FE25AB" w:rsidRDefault="00FE25AB">
      <w:pPr>
        <w:rPr>
          <w:spacing w:val="47"/>
        </w:rPr>
      </w:pPr>
    </w:p>
    <w:p w:rsidR="00FE25AB" w:rsidRDefault="00FE25AB">
      <w:pPr>
        <w:rPr>
          <w:w w:val="111"/>
        </w:rPr>
      </w:pPr>
      <w:r>
        <w:rPr>
          <w:w w:val="109"/>
        </w:rPr>
        <w:t xml:space="preserve">The </w:t>
      </w:r>
      <w:r>
        <w:rPr>
          <w:w w:val="111"/>
        </w:rPr>
        <w:t>primary</w:t>
      </w:r>
      <w:r>
        <w:rPr>
          <w:spacing w:val="5"/>
          <w:w w:val="111"/>
        </w:rPr>
        <w:t xml:space="preserve"> </w:t>
      </w:r>
      <w:r>
        <w:rPr>
          <w:w w:val="111"/>
        </w:rPr>
        <w:t>objectives</w:t>
      </w:r>
      <w:r>
        <w:rPr>
          <w:spacing w:val="-25"/>
          <w:w w:val="111"/>
        </w:rPr>
        <w:t xml:space="preserve"> </w:t>
      </w:r>
      <w:r>
        <w:t>of</w:t>
      </w:r>
      <w:r>
        <w:rPr>
          <w:spacing w:val="22"/>
        </w:rPr>
        <w:t xml:space="preserve"> </w:t>
      </w:r>
      <w:r>
        <w:t>the</w:t>
      </w:r>
      <w:r>
        <w:rPr>
          <w:spacing w:val="27"/>
        </w:rPr>
        <w:t xml:space="preserve"> </w:t>
      </w:r>
      <w:r>
        <w:t xml:space="preserve">Scheme </w:t>
      </w:r>
      <w:r>
        <w:rPr>
          <w:spacing w:val="7"/>
        </w:rPr>
        <w:t>relate</w:t>
      </w:r>
      <w:r>
        <w:rPr>
          <w:spacing w:val="41"/>
        </w:rPr>
        <w:t xml:space="preserve"> </w:t>
      </w:r>
      <w:r>
        <w:t>to</w:t>
      </w:r>
      <w:r>
        <w:rPr>
          <w:spacing w:val="17"/>
        </w:rPr>
        <w:t xml:space="preserve"> </w:t>
      </w:r>
      <w:r>
        <w:t>the</w:t>
      </w:r>
      <w:r>
        <w:rPr>
          <w:spacing w:val="28"/>
        </w:rPr>
        <w:t xml:space="preserve"> </w:t>
      </w:r>
      <w:r>
        <w:rPr>
          <w:w w:val="107"/>
        </w:rPr>
        <w:t>improvement</w:t>
      </w:r>
      <w:r>
        <w:rPr>
          <w:spacing w:val="14"/>
          <w:w w:val="107"/>
        </w:rPr>
        <w:t xml:space="preserve"> </w:t>
      </w:r>
      <w:r>
        <w:t>in</w:t>
      </w:r>
      <w:r>
        <w:rPr>
          <w:spacing w:val="20"/>
        </w:rPr>
        <w:t xml:space="preserve"> </w:t>
      </w:r>
      <w:r>
        <w:t xml:space="preserve">transport </w:t>
      </w:r>
      <w:r>
        <w:rPr>
          <w:spacing w:val="6"/>
        </w:rPr>
        <w:t>conditions</w:t>
      </w:r>
      <w:r>
        <w:rPr>
          <w:w w:val="108"/>
        </w:rPr>
        <w:t xml:space="preserve"> </w:t>
      </w:r>
      <w:r>
        <w:t xml:space="preserve">which </w:t>
      </w:r>
      <w:r>
        <w:rPr>
          <w:spacing w:val="15"/>
        </w:rPr>
        <w:t>support</w:t>
      </w:r>
      <w:r>
        <w:t xml:space="preserve"> </w:t>
      </w:r>
      <w:r>
        <w:rPr>
          <w:spacing w:val="5"/>
        </w:rPr>
        <w:t>travel</w:t>
      </w:r>
      <w:r>
        <w:rPr>
          <w:spacing w:val="22"/>
        </w:rPr>
        <w:t xml:space="preserve"> </w:t>
      </w:r>
      <w:r>
        <w:t>by</w:t>
      </w:r>
      <w:r>
        <w:rPr>
          <w:spacing w:val="25"/>
        </w:rPr>
        <w:t xml:space="preserve"> </w:t>
      </w:r>
      <w:r>
        <w:t>all</w:t>
      </w:r>
      <w:r>
        <w:rPr>
          <w:spacing w:val="19"/>
        </w:rPr>
        <w:t xml:space="preserve"> </w:t>
      </w:r>
      <w:r>
        <w:t>modes</w:t>
      </w:r>
      <w:r>
        <w:rPr>
          <w:spacing w:val="55"/>
        </w:rPr>
        <w:t xml:space="preserve"> </w:t>
      </w:r>
      <w:r>
        <w:t>and</w:t>
      </w:r>
      <w:r>
        <w:rPr>
          <w:spacing w:val="36"/>
        </w:rPr>
        <w:t xml:space="preserve"> </w:t>
      </w:r>
      <w:r>
        <w:rPr>
          <w:w w:val="107"/>
        </w:rPr>
        <w:t>contribute</w:t>
      </w:r>
      <w:r>
        <w:rPr>
          <w:spacing w:val="-6"/>
          <w:w w:val="107"/>
        </w:rPr>
        <w:t xml:space="preserve"> </w:t>
      </w:r>
      <w:r>
        <w:t>to</w:t>
      </w:r>
      <w:r>
        <w:rPr>
          <w:spacing w:val="22"/>
        </w:rPr>
        <w:t xml:space="preserve"> </w:t>
      </w:r>
      <w:r>
        <w:t>the</w:t>
      </w:r>
      <w:r>
        <w:rPr>
          <w:spacing w:val="23"/>
        </w:rPr>
        <w:t xml:space="preserve"> </w:t>
      </w:r>
      <w:r>
        <w:rPr>
          <w:w w:val="109"/>
        </w:rPr>
        <w:t>regeneration</w:t>
      </w:r>
      <w:r>
        <w:rPr>
          <w:spacing w:val="-5"/>
          <w:w w:val="109"/>
        </w:rPr>
        <w:t xml:space="preserve"> </w:t>
      </w:r>
      <w:r>
        <w:t>of</w:t>
      </w:r>
      <w:r>
        <w:rPr>
          <w:spacing w:val="17"/>
        </w:rPr>
        <w:t xml:space="preserve"> </w:t>
      </w:r>
      <w:r>
        <w:t>the</w:t>
      </w:r>
      <w:r>
        <w:rPr>
          <w:spacing w:val="23"/>
        </w:rPr>
        <w:t xml:space="preserve"> </w:t>
      </w:r>
      <w:r>
        <w:rPr>
          <w:w w:val="110"/>
        </w:rPr>
        <w:t>urban environment</w:t>
      </w:r>
      <w:r>
        <w:rPr>
          <w:spacing w:val="3"/>
          <w:w w:val="110"/>
        </w:rPr>
        <w:t xml:space="preserve"> </w:t>
      </w:r>
      <w:r>
        <w:t>and</w:t>
      </w:r>
      <w:r>
        <w:rPr>
          <w:spacing w:val="36"/>
        </w:rPr>
        <w:t xml:space="preserve"> </w:t>
      </w:r>
      <w:r>
        <w:rPr>
          <w:w w:val="109"/>
        </w:rPr>
        <w:t>economic p</w:t>
      </w:r>
      <w:r>
        <w:t>otential</w:t>
      </w:r>
      <w:r>
        <w:rPr>
          <w:spacing w:val="39"/>
        </w:rPr>
        <w:t xml:space="preserve"> </w:t>
      </w:r>
      <w:r>
        <w:rPr>
          <w:w w:val="111"/>
        </w:rPr>
        <w:t xml:space="preserve">of </w:t>
      </w:r>
      <w:proofErr w:type="spellStart"/>
      <w:r>
        <w:rPr>
          <w:w w:val="111"/>
        </w:rPr>
        <w:t>Strood</w:t>
      </w:r>
      <w:proofErr w:type="spellEnd"/>
      <w:r>
        <w:rPr>
          <w:w w:val="111"/>
        </w:rPr>
        <w:t>. Measurable objectives are set out in Table 2a below:</w:t>
      </w:r>
    </w:p>
    <w:p w:rsidR="00FE25AB" w:rsidRDefault="00FE25AB">
      <w:pPr>
        <w:rPr>
          <w:w w:val="111"/>
        </w:rPr>
      </w:pPr>
    </w:p>
    <w:p w:rsidR="00FE25AB" w:rsidRDefault="00FE25AB">
      <w:pPr>
        <w:rPr>
          <w:b/>
          <w:bCs/>
          <w:w w:val="111"/>
        </w:rPr>
      </w:pPr>
      <w:r>
        <w:rPr>
          <w:b/>
          <w:bCs/>
          <w:color w:val="E36C0A"/>
          <w:w w:val="111"/>
        </w:rPr>
        <w:br w:type="page"/>
      </w:r>
      <w:r>
        <w:rPr>
          <w:b/>
          <w:bCs/>
          <w:w w:val="111"/>
        </w:rPr>
        <w:lastRenderedPageBreak/>
        <w:t>Table 2a – Scheme Objectives</w:t>
      </w:r>
    </w:p>
    <w:p w:rsidR="00FE25AB" w:rsidRDefault="00FE25AB">
      <w:pPr>
        <w:rPr>
          <w:w w:val="111"/>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3444"/>
        <w:gridCol w:w="3445"/>
      </w:tblGrid>
      <w:tr w:rsidR="00FE25AB">
        <w:trPr>
          <w:trHeight w:val="563"/>
        </w:trPr>
        <w:tc>
          <w:tcPr>
            <w:tcW w:w="1843" w:type="dxa"/>
            <w:shd w:val="clear" w:color="auto" w:fill="D9D9D9"/>
            <w:vAlign w:val="center"/>
          </w:tcPr>
          <w:p w:rsidR="00FE25AB" w:rsidRDefault="00FE25AB">
            <w:pPr>
              <w:ind w:left="0"/>
              <w:rPr>
                <w:b/>
                <w:bCs/>
                <w:w w:val="111"/>
              </w:rPr>
            </w:pPr>
            <w:r>
              <w:rPr>
                <w:b/>
                <w:bCs/>
                <w:w w:val="111"/>
              </w:rPr>
              <w:t>Objective</w:t>
            </w:r>
          </w:p>
        </w:tc>
        <w:tc>
          <w:tcPr>
            <w:tcW w:w="3444" w:type="dxa"/>
            <w:shd w:val="clear" w:color="auto" w:fill="D9D9D9"/>
            <w:vAlign w:val="center"/>
          </w:tcPr>
          <w:p w:rsidR="00FE25AB" w:rsidRDefault="00FE25AB">
            <w:pPr>
              <w:ind w:left="0"/>
              <w:rPr>
                <w:b/>
                <w:bCs/>
                <w:w w:val="111"/>
              </w:rPr>
            </w:pPr>
            <w:r>
              <w:rPr>
                <w:b/>
                <w:bCs/>
                <w:w w:val="111"/>
              </w:rPr>
              <w:t>How will the scheme contribute?</w:t>
            </w:r>
          </w:p>
        </w:tc>
        <w:tc>
          <w:tcPr>
            <w:tcW w:w="3445" w:type="dxa"/>
            <w:shd w:val="clear" w:color="auto" w:fill="D9D9D9"/>
            <w:vAlign w:val="center"/>
          </w:tcPr>
          <w:p w:rsidR="00FE25AB" w:rsidRDefault="00FE25AB">
            <w:pPr>
              <w:ind w:left="0"/>
              <w:rPr>
                <w:b/>
                <w:bCs/>
                <w:w w:val="111"/>
              </w:rPr>
            </w:pPr>
            <w:r>
              <w:rPr>
                <w:b/>
                <w:bCs/>
                <w:w w:val="111"/>
              </w:rPr>
              <w:t>How will success be measured?</w:t>
            </w:r>
          </w:p>
        </w:tc>
      </w:tr>
      <w:tr w:rsidR="00FE25AB">
        <w:trPr>
          <w:trHeight w:val="1064"/>
        </w:trPr>
        <w:tc>
          <w:tcPr>
            <w:tcW w:w="1843" w:type="dxa"/>
          </w:tcPr>
          <w:p w:rsidR="00FE25AB" w:rsidRDefault="00FE25AB">
            <w:pPr>
              <w:ind w:left="0"/>
              <w:rPr>
                <w:w w:val="111"/>
              </w:rPr>
            </w:pPr>
            <w:r>
              <w:rPr>
                <w:w w:val="111"/>
              </w:rPr>
              <w:t>Improve journey times</w:t>
            </w:r>
          </w:p>
        </w:tc>
        <w:tc>
          <w:tcPr>
            <w:tcW w:w="3444" w:type="dxa"/>
          </w:tcPr>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Urban traffic control improvements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Highway layout improvements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Junction upgrades</w:t>
            </w:r>
          </w:p>
        </w:tc>
        <w:tc>
          <w:tcPr>
            <w:tcW w:w="3445" w:type="dxa"/>
          </w:tcPr>
          <w:p w:rsidR="00FE25AB" w:rsidRDefault="00FE25AB">
            <w:pPr>
              <w:ind w:left="0"/>
              <w:rPr>
                <w:w w:val="111"/>
              </w:rPr>
            </w:pPr>
            <w:r>
              <w:rPr>
                <w:w w:val="111"/>
              </w:rPr>
              <w:t>Reduced journey times and congestion levels on network.</w:t>
            </w:r>
          </w:p>
        </w:tc>
      </w:tr>
      <w:tr w:rsidR="00FE25AB">
        <w:trPr>
          <w:trHeight w:val="415"/>
        </w:trPr>
        <w:tc>
          <w:tcPr>
            <w:tcW w:w="1843" w:type="dxa"/>
          </w:tcPr>
          <w:p w:rsidR="00FE25AB" w:rsidRDefault="00FE25AB">
            <w:pPr>
              <w:ind w:left="0"/>
              <w:rPr>
                <w:w w:val="111"/>
              </w:rPr>
            </w:pPr>
            <w:r>
              <w:rPr>
                <w:w w:val="111"/>
              </w:rPr>
              <w:t>Improve journey time reliability</w:t>
            </w:r>
          </w:p>
        </w:tc>
        <w:tc>
          <w:tcPr>
            <w:tcW w:w="3444" w:type="dxa"/>
          </w:tcPr>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As above</w:t>
            </w:r>
          </w:p>
        </w:tc>
        <w:tc>
          <w:tcPr>
            <w:tcW w:w="3445" w:type="dxa"/>
          </w:tcPr>
          <w:p w:rsidR="00FE25AB" w:rsidRDefault="00FE25AB">
            <w:pPr>
              <w:ind w:left="0"/>
              <w:rPr>
                <w:w w:val="111"/>
              </w:rPr>
            </w:pPr>
            <w:r>
              <w:rPr>
                <w:w w:val="111"/>
              </w:rPr>
              <w:t>Variance in journey times reduced throughout day.</w:t>
            </w:r>
          </w:p>
        </w:tc>
      </w:tr>
      <w:tr w:rsidR="00FE25AB">
        <w:trPr>
          <w:trHeight w:val="506"/>
        </w:trPr>
        <w:tc>
          <w:tcPr>
            <w:tcW w:w="1843" w:type="dxa"/>
          </w:tcPr>
          <w:p w:rsidR="00FE25AB" w:rsidRDefault="00FE25AB">
            <w:pPr>
              <w:ind w:left="0"/>
              <w:rPr>
                <w:w w:val="111"/>
              </w:rPr>
            </w:pPr>
            <w:r>
              <w:rPr>
                <w:w w:val="111"/>
              </w:rPr>
              <w:t xml:space="preserve">Increase levels of walking </w:t>
            </w:r>
          </w:p>
        </w:tc>
        <w:tc>
          <w:tcPr>
            <w:tcW w:w="3444" w:type="dxa"/>
          </w:tcPr>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New pedestrian crossings.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Improved footways.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Better links to station and town centre.</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Improved pedestrian safety and security.</w:t>
            </w:r>
          </w:p>
        </w:tc>
        <w:tc>
          <w:tcPr>
            <w:tcW w:w="3445" w:type="dxa"/>
          </w:tcPr>
          <w:p w:rsidR="00FE25AB" w:rsidRDefault="00FE25AB">
            <w:pPr>
              <w:ind w:left="0"/>
              <w:rPr>
                <w:w w:val="111"/>
              </w:rPr>
            </w:pPr>
            <w:r>
              <w:rPr>
                <w:w w:val="111"/>
              </w:rPr>
              <w:t xml:space="preserve">Footfall increases on key routes. </w:t>
            </w:r>
          </w:p>
        </w:tc>
      </w:tr>
      <w:tr w:rsidR="00FE25AB">
        <w:trPr>
          <w:trHeight w:val="1297"/>
        </w:trPr>
        <w:tc>
          <w:tcPr>
            <w:tcW w:w="1843" w:type="dxa"/>
          </w:tcPr>
          <w:p w:rsidR="00FE25AB" w:rsidRDefault="00FE25AB">
            <w:pPr>
              <w:ind w:left="0"/>
              <w:rPr>
                <w:w w:val="111"/>
              </w:rPr>
            </w:pPr>
            <w:r>
              <w:rPr>
                <w:w w:val="111"/>
              </w:rPr>
              <w:t>Increase levels of cycling</w:t>
            </w:r>
          </w:p>
        </w:tc>
        <w:tc>
          <w:tcPr>
            <w:tcW w:w="3444" w:type="dxa"/>
          </w:tcPr>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New strategic cycle route.</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New local cycle routes.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Cycle priority at junctions.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Cycle parking facilities.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New cycle route signing.</w:t>
            </w:r>
          </w:p>
        </w:tc>
        <w:tc>
          <w:tcPr>
            <w:tcW w:w="3445" w:type="dxa"/>
          </w:tcPr>
          <w:p w:rsidR="00FE25AB" w:rsidRDefault="00FE25AB">
            <w:pPr>
              <w:ind w:left="0"/>
              <w:rPr>
                <w:w w:val="111"/>
              </w:rPr>
            </w:pPr>
            <w:r>
              <w:rPr>
                <w:w w:val="111"/>
              </w:rPr>
              <w:t>Cycle flow increases on key routes.</w:t>
            </w:r>
          </w:p>
          <w:p w:rsidR="00FE25AB" w:rsidRDefault="00FE25AB">
            <w:pPr>
              <w:ind w:left="0"/>
              <w:rPr>
                <w:w w:val="111"/>
              </w:rPr>
            </w:pPr>
            <w:r>
              <w:rPr>
                <w:w w:val="111"/>
              </w:rPr>
              <w:t>Cycle parking increase.</w:t>
            </w:r>
          </w:p>
        </w:tc>
      </w:tr>
      <w:tr w:rsidR="00FE25AB">
        <w:trPr>
          <w:trHeight w:val="506"/>
        </w:trPr>
        <w:tc>
          <w:tcPr>
            <w:tcW w:w="1843" w:type="dxa"/>
          </w:tcPr>
          <w:p w:rsidR="00FE25AB" w:rsidRDefault="00FE25AB">
            <w:pPr>
              <w:ind w:left="0"/>
              <w:rPr>
                <w:w w:val="111"/>
              </w:rPr>
            </w:pPr>
            <w:r>
              <w:rPr>
                <w:w w:val="111"/>
              </w:rPr>
              <w:t>Increase use of buses</w:t>
            </w:r>
          </w:p>
        </w:tc>
        <w:tc>
          <w:tcPr>
            <w:tcW w:w="3444" w:type="dxa"/>
          </w:tcPr>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New and improved bus waiting facilities.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More passenger information.</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Improved interchange at rail station.</w:t>
            </w:r>
          </w:p>
        </w:tc>
        <w:tc>
          <w:tcPr>
            <w:tcW w:w="3445" w:type="dxa"/>
          </w:tcPr>
          <w:p w:rsidR="00FE25AB" w:rsidRDefault="00FE25AB">
            <w:pPr>
              <w:ind w:left="0"/>
              <w:rPr>
                <w:w w:val="111"/>
              </w:rPr>
            </w:pPr>
            <w:r>
              <w:rPr>
                <w:w w:val="111"/>
              </w:rPr>
              <w:t>Passenger increases and more passengers using stops. Greater passenger satisfaction.</w:t>
            </w:r>
          </w:p>
        </w:tc>
      </w:tr>
      <w:tr w:rsidR="00FE25AB">
        <w:trPr>
          <w:trHeight w:val="1471"/>
        </w:trPr>
        <w:tc>
          <w:tcPr>
            <w:tcW w:w="1843" w:type="dxa"/>
          </w:tcPr>
          <w:p w:rsidR="00FE25AB" w:rsidRDefault="00FE25AB">
            <w:pPr>
              <w:ind w:left="0"/>
              <w:rPr>
                <w:w w:val="111"/>
              </w:rPr>
            </w:pPr>
            <w:r>
              <w:rPr>
                <w:w w:val="111"/>
              </w:rPr>
              <w:t xml:space="preserve">Increase use of rail station and improve customer experience </w:t>
            </w:r>
          </w:p>
        </w:tc>
        <w:tc>
          <w:tcPr>
            <w:tcW w:w="3444" w:type="dxa"/>
          </w:tcPr>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Contribution to rail station replacement and upgrade scheme with Network Rail.</w:t>
            </w:r>
          </w:p>
        </w:tc>
        <w:tc>
          <w:tcPr>
            <w:tcW w:w="3445" w:type="dxa"/>
          </w:tcPr>
          <w:p w:rsidR="00FE25AB" w:rsidRDefault="00FE25AB">
            <w:pPr>
              <w:ind w:left="0"/>
              <w:rPr>
                <w:w w:val="111"/>
              </w:rPr>
            </w:pPr>
            <w:r>
              <w:rPr>
                <w:w w:val="111"/>
              </w:rPr>
              <w:t>Passenger increases and greater passenger satisfaction.</w:t>
            </w:r>
          </w:p>
        </w:tc>
      </w:tr>
      <w:tr w:rsidR="00FE25AB">
        <w:trPr>
          <w:trHeight w:val="506"/>
        </w:trPr>
        <w:tc>
          <w:tcPr>
            <w:tcW w:w="1843" w:type="dxa"/>
          </w:tcPr>
          <w:p w:rsidR="00FE25AB" w:rsidRDefault="00FE25AB">
            <w:pPr>
              <w:ind w:left="0"/>
              <w:rPr>
                <w:w w:val="111"/>
              </w:rPr>
            </w:pPr>
            <w:r>
              <w:rPr>
                <w:w w:val="111"/>
              </w:rPr>
              <w:t>Increase economic prosperity and activity</w:t>
            </w:r>
          </w:p>
        </w:tc>
        <w:tc>
          <w:tcPr>
            <w:tcW w:w="3444" w:type="dxa"/>
          </w:tcPr>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Provide high quality urban realm in town centre.</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Make town centre more accessible.</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Create new public spaces.</w:t>
            </w:r>
          </w:p>
          <w:p w:rsidR="00FE25AB" w:rsidRDefault="00FE25AB">
            <w:pPr>
              <w:pStyle w:val="ListParagraph"/>
              <w:numPr>
                <w:ilvl w:val="0"/>
                <w:numId w:val="20"/>
              </w:numPr>
              <w:spacing w:after="0" w:line="240" w:lineRule="auto"/>
              <w:ind w:left="295" w:hanging="284"/>
              <w:rPr>
                <w:rFonts w:ascii="Arial" w:hAnsi="Arial" w:cs="Arial"/>
                <w:w w:val="111"/>
              </w:rPr>
            </w:pPr>
            <w:r>
              <w:rPr>
                <w:rFonts w:ascii="Arial" w:hAnsi="Arial" w:cs="Arial"/>
                <w:w w:val="111"/>
              </w:rPr>
              <w:t>Improve parking and loading facilities.</w:t>
            </w:r>
          </w:p>
        </w:tc>
        <w:tc>
          <w:tcPr>
            <w:tcW w:w="3445" w:type="dxa"/>
          </w:tcPr>
          <w:p w:rsidR="00FE25AB" w:rsidRDefault="00FE25AB">
            <w:pPr>
              <w:ind w:left="0"/>
              <w:rPr>
                <w:w w:val="111"/>
              </w:rPr>
            </w:pPr>
            <w:r>
              <w:rPr>
                <w:w w:val="111"/>
              </w:rPr>
              <w:t>More footfall, fewer vacant retail premises and increased land values.</w:t>
            </w:r>
          </w:p>
        </w:tc>
      </w:tr>
    </w:tbl>
    <w:p w:rsidR="00FE25AB" w:rsidRDefault="00FE25AB"/>
    <w:p w:rsidR="00FE25AB" w:rsidRDefault="00FE25AB">
      <w:pPr>
        <w:rPr>
          <w:color w:val="050503"/>
        </w:rPr>
      </w:pPr>
      <w:r>
        <w:t>The</w:t>
      </w:r>
      <w:r>
        <w:rPr>
          <w:spacing w:val="48"/>
        </w:rPr>
        <w:t xml:space="preserve"> </w:t>
      </w:r>
      <w:r>
        <w:t xml:space="preserve">primary </w:t>
      </w:r>
      <w:r>
        <w:rPr>
          <w:spacing w:val="14"/>
        </w:rPr>
        <w:t>objectives</w:t>
      </w:r>
      <w:r>
        <w:t xml:space="preserve"> </w:t>
      </w:r>
      <w:r>
        <w:rPr>
          <w:spacing w:val="16"/>
        </w:rPr>
        <w:t>of</w:t>
      </w:r>
      <w:r>
        <w:rPr>
          <w:spacing w:val="26"/>
        </w:rPr>
        <w:t xml:space="preserve"> </w:t>
      </w:r>
      <w:r>
        <w:t>the</w:t>
      </w:r>
      <w:r>
        <w:rPr>
          <w:spacing w:val="22"/>
        </w:rPr>
        <w:t xml:space="preserve"> </w:t>
      </w:r>
      <w:r>
        <w:t xml:space="preserve">Scheme </w:t>
      </w:r>
      <w:r>
        <w:rPr>
          <w:spacing w:val="2"/>
        </w:rPr>
        <w:t>are</w:t>
      </w:r>
      <w:r>
        <w:rPr>
          <w:spacing w:val="-28"/>
        </w:rPr>
        <w:t xml:space="preserve"> </w:t>
      </w:r>
      <w:r>
        <w:t>not</w:t>
      </w:r>
      <w:r>
        <w:rPr>
          <w:spacing w:val="20"/>
        </w:rPr>
        <w:t xml:space="preserve"> </w:t>
      </w:r>
      <w:r>
        <w:rPr>
          <w:w w:val="109"/>
        </w:rPr>
        <w:t>comparable</w:t>
      </w:r>
      <w:r>
        <w:rPr>
          <w:spacing w:val="-3"/>
          <w:w w:val="109"/>
        </w:rPr>
        <w:t xml:space="preserve"> </w:t>
      </w:r>
      <w:r>
        <w:t>with</w:t>
      </w:r>
      <w:r>
        <w:rPr>
          <w:spacing w:val="39"/>
        </w:rPr>
        <w:t xml:space="preserve"> </w:t>
      </w:r>
      <w:r>
        <w:rPr>
          <w:w w:val="108"/>
        </w:rPr>
        <w:t>traditional</w:t>
      </w:r>
      <w:r>
        <w:rPr>
          <w:spacing w:val="-19"/>
          <w:w w:val="108"/>
        </w:rPr>
        <w:t xml:space="preserve"> </w:t>
      </w:r>
      <w:r>
        <w:rPr>
          <w:w w:val="108"/>
        </w:rPr>
        <w:t xml:space="preserve">road </w:t>
      </w:r>
      <w:r>
        <w:rPr>
          <w:w w:val="112"/>
        </w:rPr>
        <w:t>schemes,</w:t>
      </w:r>
      <w:r>
        <w:rPr>
          <w:spacing w:val="-8"/>
          <w:w w:val="112"/>
        </w:rPr>
        <w:t xml:space="preserve"> </w:t>
      </w:r>
      <w:r>
        <w:t xml:space="preserve">where </w:t>
      </w:r>
      <w:r>
        <w:rPr>
          <w:spacing w:val="3"/>
        </w:rPr>
        <w:t>highway</w:t>
      </w:r>
      <w:r>
        <w:t xml:space="preserve"> </w:t>
      </w:r>
      <w:r>
        <w:rPr>
          <w:spacing w:val="16"/>
        </w:rPr>
        <w:t>journey</w:t>
      </w:r>
      <w:r>
        <w:rPr>
          <w:spacing w:val="49"/>
        </w:rPr>
        <w:t xml:space="preserve"> </w:t>
      </w:r>
      <w:r>
        <w:t>time</w:t>
      </w:r>
      <w:r>
        <w:rPr>
          <w:spacing w:val="40"/>
        </w:rPr>
        <w:t xml:space="preserve"> </w:t>
      </w:r>
      <w:r>
        <w:rPr>
          <w:w w:val="107"/>
        </w:rPr>
        <w:t>improvements</w:t>
      </w:r>
      <w:r>
        <w:rPr>
          <w:spacing w:val="-2"/>
          <w:w w:val="107"/>
        </w:rPr>
        <w:t xml:space="preserve"> </w:t>
      </w:r>
      <w:r>
        <w:t>and</w:t>
      </w:r>
      <w:r>
        <w:rPr>
          <w:spacing w:val="28"/>
        </w:rPr>
        <w:t xml:space="preserve"> </w:t>
      </w:r>
      <w:r>
        <w:rPr>
          <w:w w:val="110"/>
        </w:rPr>
        <w:t>increased</w:t>
      </w:r>
      <w:r>
        <w:rPr>
          <w:spacing w:val="-8"/>
          <w:w w:val="110"/>
        </w:rPr>
        <w:t xml:space="preserve"> </w:t>
      </w:r>
      <w:r>
        <w:t>travel</w:t>
      </w:r>
      <w:r>
        <w:rPr>
          <w:spacing w:val="36"/>
        </w:rPr>
        <w:t xml:space="preserve"> </w:t>
      </w:r>
      <w:r>
        <w:rPr>
          <w:w w:val="108"/>
        </w:rPr>
        <w:t xml:space="preserve">speeds </w:t>
      </w:r>
      <w:r>
        <w:t>may be</w:t>
      </w:r>
      <w:r>
        <w:rPr>
          <w:spacing w:val="28"/>
        </w:rPr>
        <w:t xml:space="preserve"> </w:t>
      </w:r>
      <w:r>
        <w:t>sought</w:t>
      </w:r>
      <w:r>
        <w:rPr>
          <w:spacing w:val="53"/>
        </w:rPr>
        <w:t xml:space="preserve"> </w:t>
      </w:r>
      <w:r>
        <w:t>with</w:t>
      </w:r>
      <w:r>
        <w:rPr>
          <w:spacing w:val="28"/>
        </w:rPr>
        <w:t xml:space="preserve"> </w:t>
      </w:r>
      <w:r>
        <w:t>the</w:t>
      </w:r>
      <w:r>
        <w:rPr>
          <w:spacing w:val="29"/>
        </w:rPr>
        <w:t xml:space="preserve"> </w:t>
      </w:r>
      <w:r>
        <w:t>provision of</w:t>
      </w:r>
      <w:r>
        <w:rPr>
          <w:spacing w:val="27"/>
        </w:rPr>
        <w:t xml:space="preserve"> </w:t>
      </w:r>
      <w:r>
        <w:t>new</w:t>
      </w:r>
      <w:r>
        <w:rPr>
          <w:spacing w:val="37"/>
        </w:rPr>
        <w:t xml:space="preserve"> </w:t>
      </w:r>
      <w:r>
        <w:t>routes.</w:t>
      </w:r>
      <w:r>
        <w:rPr>
          <w:spacing w:val="43"/>
        </w:rPr>
        <w:t xml:space="preserve"> </w:t>
      </w:r>
      <w:r>
        <w:rPr>
          <w:color w:val="050503"/>
        </w:rPr>
        <w:t xml:space="preserve">However, this scheme will deliver journey time and accessibility improvements within the town by improving existing routes and control systems. </w:t>
      </w:r>
    </w:p>
    <w:p w:rsidR="00FE25AB" w:rsidRDefault="00FE25AB">
      <w:pPr>
        <w:rPr>
          <w:color w:val="050503"/>
        </w:rPr>
      </w:pPr>
    </w:p>
    <w:p w:rsidR="00FE25AB" w:rsidRDefault="00FE25AB">
      <w:r>
        <w:rPr>
          <w:color w:val="050503"/>
        </w:rPr>
        <w:t>It will also bring about major improvements to the public realm and retail provision that will act as catalysts for significant new housing provision and employment growth.</w:t>
      </w:r>
    </w:p>
    <w:p w:rsidR="00FE25AB" w:rsidRDefault="00FE25AB">
      <w:pPr>
        <w:rPr>
          <w:lang w:val="en-US"/>
        </w:rPr>
      </w:pPr>
    </w:p>
    <w:p w:rsidR="00FE25AB" w:rsidRDefault="00FE25AB">
      <w:pPr>
        <w:pStyle w:val="Subsection"/>
      </w:pPr>
      <w:r>
        <w:br w:type="page"/>
      </w:r>
      <w:r>
        <w:lastRenderedPageBreak/>
        <w:t>2.5</w:t>
      </w:r>
      <w:r>
        <w:tab/>
        <w:t>Scheme Definition &amp; Options Appraisal</w:t>
      </w:r>
    </w:p>
    <w:p w:rsidR="00FE25AB" w:rsidRDefault="00FE25AB">
      <w:pPr>
        <w:pStyle w:val="Subsection"/>
      </w:pPr>
    </w:p>
    <w:p w:rsidR="00FE25AB" w:rsidRDefault="00FE25AB">
      <w:pPr>
        <w:pStyle w:val="Subsection"/>
        <w:rPr>
          <w:i/>
          <w:iCs/>
        </w:rPr>
      </w:pPr>
      <w:r>
        <w:rPr>
          <w:i/>
          <w:iCs/>
        </w:rPr>
        <w:t>2.5.1</w:t>
      </w:r>
      <w:r>
        <w:rPr>
          <w:i/>
          <w:iCs/>
        </w:rPr>
        <w:tab/>
        <w:t>Definition of Scope</w:t>
      </w:r>
    </w:p>
    <w:p w:rsidR="00FE25AB" w:rsidRDefault="00FE25AB">
      <w:pPr>
        <w:pStyle w:val="Subsection"/>
      </w:pPr>
    </w:p>
    <w:p w:rsidR="00FE25AB" w:rsidRDefault="00FE25AB">
      <w:r>
        <w:t xml:space="preserve">This business case sets out and justifies a holistic scheme plan for </w:t>
      </w:r>
      <w:proofErr w:type="spellStart"/>
      <w:r>
        <w:t>Strood</w:t>
      </w:r>
      <w:proofErr w:type="spellEnd"/>
      <w:r>
        <w:t xml:space="preserve"> that will address the challenges of poor journey times and accessibility and a “tired” and degraded urban environment. Measures will include schemes to unlock and facilitate access to major new housing and employment sites. The proposals will support these goals by forming an integrated package of targeted improvements. </w:t>
      </w:r>
    </w:p>
    <w:p w:rsidR="00FE25AB" w:rsidRDefault="00FE25AB">
      <w:pPr>
        <w:pStyle w:val="Subsection"/>
      </w:pPr>
    </w:p>
    <w:p w:rsidR="00FE25AB" w:rsidRDefault="00FE25AB">
      <w:pPr>
        <w:pStyle w:val="Subsection"/>
        <w:rPr>
          <w:i/>
          <w:iCs/>
        </w:rPr>
      </w:pPr>
      <w:r>
        <w:rPr>
          <w:i/>
          <w:iCs/>
        </w:rPr>
        <w:t>2.5.2</w:t>
      </w:r>
      <w:r>
        <w:rPr>
          <w:i/>
          <w:iCs/>
        </w:rPr>
        <w:tab/>
        <w:t>Options Considered</w:t>
      </w:r>
    </w:p>
    <w:p w:rsidR="00FE25AB" w:rsidRDefault="00FE25AB">
      <w:pPr>
        <w:pStyle w:val="Subsection"/>
      </w:pPr>
    </w:p>
    <w:p w:rsidR="00FE25AB" w:rsidRDefault="00FE25AB">
      <w:r>
        <w:t>The options considered included, but were not limited to:</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Do nothing</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Do minimum</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New ring road</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Revert all one-way roads to two-way to ‘Reclaim the High Street’</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Park and Ride and Knight Road extension</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Do something (including other LGF projects)</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Do maximum</w:t>
      </w:r>
    </w:p>
    <w:p w:rsidR="00FE25AB" w:rsidRDefault="00FE25AB">
      <w:pPr>
        <w:rPr>
          <w:b/>
          <w:bCs/>
        </w:rPr>
      </w:pPr>
    </w:p>
    <w:p w:rsidR="00FE25AB" w:rsidRDefault="00FE25AB">
      <w:pPr>
        <w:rPr>
          <w:b/>
          <w:bCs/>
        </w:rPr>
      </w:pPr>
      <w:r>
        <w:rPr>
          <w:b/>
          <w:bCs/>
        </w:rPr>
        <w:t>Option A – Do nothing</w:t>
      </w:r>
    </w:p>
    <w:p w:rsidR="00FE25AB" w:rsidRDefault="00FE25AB"/>
    <w:p w:rsidR="00FE25AB" w:rsidRDefault="00FE25AB">
      <w:r>
        <w:t xml:space="preserve">The option to do nothing was considered by Kent County Council (KCC) and Medway Council in 2003, revisited in 2007 and 2009 and presented in the “Shape-up </w:t>
      </w:r>
      <w:proofErr w:type="spellStart"/>
      <w:r>
        <w:t>Strood</w:t>
      </w:r>
      <w:proofErr w:type="spellEnd"/>
      <w:r>
        <w:t xml:space="preserve">” Report. On all three occasions it was concluded that the future development and growth would bring greater burden on a struggling network. </w:t>
      </w:r>
    </w:p>
    <w:p w:rsidR="00FE25AB" w:rsidRDefault="00FE25AB"/>
    <w:p w:rsidR="00FE25AB" w:rsidRDefault="00FE25AB">
      <w:r>
        <w:t>As discussed in 2.2.1, doing nothing would maintain a poor existing economy and environment and is not a viable solution to support the regeneration of the town.</w:t>
      </w:r>
    </w:p>
    <w:p w:rsidR="00FE25AB" w:rsidRDefault="00FE25AB"/>
    <w:p w:rsidR="00FE25AB" w:rsidRDefault="00FE25AB">
      <w:pPr>
        <w:rPr>
          <w:b/>
          <w:bCs/>
        </w:rPr>
      </w:pPr>
      <w:r>
        <w:rPr>
          <w:b/>
          <w:bCs/>
        </w:rPr>
        <w:t>Option B – Do minimum</w:t>
      </w:r>
    </w:p>
    <w:p w:rsidR="00FE25AB" w:rsidRDefault="00FE25AB">
      <w:pPr>
        <w:rPr>
          <w:b/>
          <w:bCs/>
        </w:rPr>
      </w:pPr>
    </w:p>
    <w:p w:rsidR="00FE25AB" w:rsidRDefault="00FE25AB">
      <w:r>
        <w:t xml:space="preserve">Consideration has been given to introducing a low-cost collection of minor improvements to the existing highway layout in </w:t>
      </w:r>
      <w:proofErr w:type="spellStart"/>
      <w:r>
        <w:t>Strood</w:t>
      </w:r>
      <w:proofErr w:type="spellEnd"/>
      <w:r>
        <w:t xml:space="preserve"> including:</w:t>
      </w:r>
    </w:p>
    <w:p w:rsidR="00FE25AB" w:rsidRDefault="00FE25AB">
      <w:pPr>
        <w:pStyle w:val="ListParagraph"/>
        <w:numPr>
          <w:ilvl w:val="0"/>
          <w:numId w:val="6"/>
        </w:numPr>
        <w:spacing w:after="0" w:line="240" w:lineRule="auto"/>
        <w:rPr>
          <w:rFonts w:ascii="Arial" w:hAnsi="Arial" w:cs="Arial"/>
        </w:rPr>
      </w:pPr>
      <w:r>
        <w:rPr>
          <w:rFonts w:ascii="Arial" w:hAnsi="Arial" w:cs="Arial"/>
        </w:rPr>
        <w:t>Minor alterations to kerb alignments where footways are severely substandard;</w:t>
      </w:r>
    </w:p>
    <w:p w:rsidR="00FE25AB" w:rsidRDefault="00FE25AB">
      <w:pPr>
        <w:pStyle w:val="ListParagraph"/>
        <w:numPr>
          <w:ilvl w:val="0"/>
          <w:numId w:val="6"/>
        </w:numPr>
        <w:spacing w:after="0" w:line="240" w:lineRule="auto"/>
        <w:rPr>
          <w:rFonts w:ascii="Arial" w:hAnsi="Arial" w:cs="Arial"/>
        </w:rPr>
      </w:pPr>
      <w:r>
        <w:rPr>
          <w:rFonts w:ascii="Arial" w:hAnsi="Arial" w:cs="Arial"/>
        </w:rPr>
        <w:t>De-cluttering the High Street by removing long lengths of pedestrian guard railing; and</w:t>
      </w:r>
    </w:p>
    <w:p w:rsidR="00FE25AB" w:rsidRDefault="00FE25AB">
      <w:pPr>
        <w:pStyle w:val="ListParagraph"/>
        <w:numPr>
          <w:ilvl w:val="0"/>
          <w:numId w:val="6"/>
        </w:numPr>
        <w:spacing w:after="0" w:line="240" w:lineRule="auto"/>
        <w:rPr>
          <w:rFonts w:ascii="Arial" w:hAnsi="Arial" w:cs="Arial"/>
        </w:rPr>
      </w:pPr>
      <w:r>
        <w:rPr>
          <w:rFonts w:ascii="Arial" w:hAnsi="Arial" w:cs="Arial"/>
        </w:rPr>
        <w:t>Additional pedestrian crossing facilities.</w:t>
      </w:r>
    </w:p>
    <w:p w:rsidR="00FE25AB" w:rsidRDefault="00FE25AB">
      <w:r>
        <w:t>Whilst these measures would improve pedestrian accessibility, they would not improve journey times or notably enhance the environment. Benefits would therefore be extremely limited.</w:t>
      </w:r>
    </w:p>
    <w:p w:rsidR="00FE25AB" w:rsidRDefault="00FE25AB">
      <w:pPr>
        <w:rPr>
          <w:b/>
          <w:bCs/>
        </w:rPr>
      </w:pPr>
    </w:p>
    <w:p w:rsidR="00FE25AB" w:rsidRDefault="00FE25AB">
      <w:pPr>
        <w:rPr>
          <w:b/>
          <w:bCs/>
        </w:rPr>
      </w:pPr>
      <w:r>
        <w:rPr>
          <w:b/>
          <w:bCs/>
        </w:rPr>
        <w:t xml:space="preserve">Option C – Ring Road </w:t>
      </w:r>
    </w:p>
    <w:p w:rsidR="00FE25AB" w:rsidRDefault="00FE25AB"/>
    <w:p w:rsidR="00FE25AB" w:rsidRDefault="00FE25AB">
      <w:r>
        <w:t xml:space="preserve">This option was originally conceived by KCC and reviewed by Medway Council in 2003. It includes the construction of a ring road which skirts to the east of </w:t>
      </w:r>
      <w:proofErr w:type="spellStart"/>
      <w:r>
        <w:t>Strood</w:t>
      </w:r>
      <w:proofErr w:type="spellEnd"/>
      <w:r>
        <w:t xml:space="preserve">, following the line of the existing railway embankment. This option relied on the creation of a relief road to take vehicles off the High Street but was rejected in the 2003 study. This was revisited as an option in 2009 and a subsequent review concurred with these findings. The situation remains comparable today and the option of a ring road is still not viable. The reasons for this conclusion include: </w:t>
      </w:r>
    </w:p>
    <w:p w:rsidR="00FE25AB" w:rsidRDefault="00FE25AB">
      <w:pPr>
        <w:pStyle w:val="ListParagraph"/>
        <w:numPr>
          <w:ilvl w:val="0"/>
          <w:numId w:val="6"/>
        </w:numPr>
        <w:spacing w:after="0" w:line="240" w:lineRule="auto"/>
        <w:rPr>
          <w:rFonts w:ascii="Arial" w:hAnsi="Arial" w:cs="Arial"/>
        </w:rPr>
      </w:pPr>
      <w:r>
        <w:rPr>
          <w:rFonts w:ascii="Arial" w:hAnsi="Arial" w:cs="Arial"/>
        </w:rPr>
        <w:lastRenderedPageBreak/>
        <w:t>A new ring road is not necessary as the network has sufficient scope to be revised within the existing physical constraints to support the proposed traffic volumes.</w:t>
      </w:r>
    </w:p>
    <w:p w:rsidR="00FE25AB" w:rsidRDefault="00FE25AB">
      <w:pPr>
        <w:pStyle w:val="ListParagraph"/>
        <w:numPr>
          <w:ilvl w:val="0"/>
          <w:numId w:val="6"/>
        </w:numPr>
        <w:spacing w:after="0" w:line="240" w:lineRule="auto"/>
        <w:rPr>
          <w:rFonts w:ascii="Arial" w:hAnsi="Arial" w:cs="Arial"/>
        </w:rPr>
      </w:pPr>
      <w:r>
        <w:rPr>
          <w:rFonts w:ascii="Arial" w:hAnsi="Arial" w:cs="Arial"/>
        </w:rPr>
        <w:t>A new by-pass would be an expensive and unnecessarily heavy-handed engineering solution.</w:t>
      </w:r>
    </w:p>
    <w:p w:rsidR="00FE25AB" w:rsidRDefault="00FE25AB">
      <w:pPr>
        <w:pStyle w:val="ListParagraph"/>
        <w:numPr>
          <w:ilvl w:val="0"/>
          <w:numId w:val="6"/>
        </w:numPr>
        <w:spacing w:after="0" w:line="240" w:lineRule="auto"/>
        <w:rPr>
          <w:rFonts w:ascii="Arial" w:hAnsi="Arial" w:cs="Arial"/>
        </w:rPr>
      </w:pPr>
      <w:r>
        <w:rPr>
          <w:rFonts w:ascii="Arial" w:hAnsi="Arial" w:cs="Arial"/>
        </w:rPr>
        <w:t xml:space="preserve">Creating a larger highway would only support a greater volume of cars, encouraging more vehicles through </w:t>
      </w:r>
      <w:proofErr w:type="spellStart"/>
      <w:r>
        <w:rPr>
          <w:rFonts w:ascii="Arial" w:hAnsi="Arial" w:cs="Arial"/>
        </w:rPr>
        <w:t>Strood</w:t>
      </w:r>
      <w:proofErr w:type="spellEnd"/>
      <w:r>
        <w:rPr>
          <w:rFonts w:ascii="Arial" w:hAnsi="Arial" w:cs="Arial"/>
        </w:rPr>
        <w:t>, rather than encouraging through-traffic to use the strategic routes of the M2 and A289 (Medway Tunnel).</w:t>
      </w:r>
    </w:p>
    <w:p w:rsidR="00FE25AB" w:rsidRDefault="00FE25AB">
      <w:pPr>
        <w:pStyle w:val="ListParagraph"/>
        <w:numPr>
          <w:ilvl w:val="0"/>
          <w:numId w:val="6"/>
        </w:numPr>
        <w:spacing w:after="0" w:line="240" w:lineRule="auto"/>
        <w:rPr>
          <w:rFonts w:ascii="Arial" w:hAnsi="Arial" w:cs="Arial"/>
        </w:rPr>
      </w:pPr>
      <w:r>
        <w:rPr>
          <w:rFonts w:ascii="Arial" w:hAnsi="Arial" w:cs="Arial"/>
        </w:rPr>
        <w:t xml:space="preserve">Permitting fast flowing vehicles to bypass </w:t>
      </w:r>
      <w:proofErr w:type="spellStart"/>
      <w:r>
        <w:rPr>
          <w:rFonts w:ascii="Arial" w:hAnsi="Arial" w:cs="Arial"/>
        </w:rPr>
        <w:t>Strood</w:t>
      </w:r>
      <w:proofErr w:type="spellEnd"/>
      <w:r>
        <w:rPr>
          <w:rFonts w:ascii="Arial" w:hAnsi="Arial" w:cs="Arial"/>
        </w:rPr>
        <w:t xml:space="preserve"> removes potential customers from </w:t>
      </w:r>
      <w:proofErr w:type="spellStart"/>
      <w:r>
        <w:rPr>
          <w:rFonts w:ascii="Arial" w:hAnsi="Arial" w:cs="Arial"/>
        </w:rPr>
        <w:t>Strood</w:t>
      </w:r>
      <w:proofErr w:type="spellEnd"/>
      <w:r>
        <w:rPr>
          <w:rFonts w:ascii="Arial" w:hAnsi="Arial" w:cs="Arial"/>
        </w:rPr>
        <w:t xml:space="preserve"> itself, reducing the potential for economic growth in the town.</w:t>
      </w:r>
    </w:p>
    <w:p w:rsidR="00FE25AB" w:rsidRDefault="00FE25AB">
      <w:pPr>
        <w:pStyle w:val="ListParagraph"/>
        <w:numPr>
          <w:ilvl w:val="0"/>
          <w:numId w:val="6"/>
        </w:numPr>
        <w:spacing w:after="0" w:line="240" w:lineRule="auto"/>
        <w:rPr>
          <w:rFonts w:ascii="Arial" w:hAnsi="Arial" w:cs="Arial"/>
        </w:rPr>
      </w:pPr>
      <w:r>
        <w:rPr>
          <w:rFonts w:ascii="Arial" w:hAnsi="Arial" w:cs="Arial"/>
        </w:rPr>
        <w:t>The proposal transfers a greater number of vehicles on to the Station Road/High Street junction which is already the pinch point in the network.</w:t>
      </w:r>
    </w:p>
    <w:p w:rsidR="00FE25AB" w:rsidRDefault="00FE25AB">
      <w:pPr>
        <w:pStyle w:val="ListParagraph"/>
        <w:numPr>
          <w:ilvl w:val="0"/>
          <w:numId w:val="6"/>
        </w:numPr>
        <w:spacing w:after="0" w:line="240" w:lineRule="auto"/>
        <w:rPr>
          <w:rFonts w:ascii="Arial" w:hAnsi="Arial" w:cs="Arial"/>
        </w:rPr>
      </w:pPr>
      <w:r>
        <w:rPr>
          <w:rFonts w:ascii="Arial" w:hAnsi="Arial" w:cs="Arial"/>
        </w:rPr>
        <w:t>The proposal is unsustainable and conflicts with local and national policies for resolving congestion.</w:t>
      </w:r>
    </w:p>
    <w:p w:rsidR="00FE25AB" w:rsidRDefault="00FE25AB">
      <w:pPr>
        <w:pStyle w:val="ListParagraph"/>
        <w:numPr>
          <w:ilvl w:val="0"/>
          <w:numId w:val="6"/>
        </w:numPr>
        <w:spacing w:after="0" w:line="240" w:lineRule="auto"/>
        <w:rPr>
          <w:rFonts w:ascii="Arial" w:hAnsi="Arial" w:cs="Arial"/>
        </w:rPr>
      </w:pPr>
      <w:r>
        <w:rPr>
          <w:rFonts w:ascii="Arial" w:hAnsi="Arial" w:cs="Arial"/>
        </w:rPr>
        <w:t xml:space="preserve"> It will not improve connectivity for pedestrians and will only therefore reduce further the potential for a modal shift, resulting in greater decline in </w:t>
      </w:r>
      <w:proofErr w:type="spellStart"/>
      <w:r>
        <w:rPr>
          <w:rFonts w:ascii="Arial" w:hAnsi="Arial" w:cs="Arial"/>
        </w:rPr>
        <w:t>Strood</w:t>
      </w:r>
      <w:proofErr w:type="spellEnd"/>
      <w:r>
        <w:rPr>
          <w:rFonts w:ascii="Arial" w:hAnsi="Arial" w:cs="Arial"/>
        </w:rPr>
        <w:t xml:space="preserve"> High Street.</w:t>
      </w:r>
    </w:p>
    <w:p w:rsidR="00FE25AB" w:rsidRDefault="00FE25AB">
      <w:pPr>
        <w:pStyle w:val="ListParagraph"/>
        <w:numPr>
          <w:ilvl w:val="0"/>
          <w:numId w:val="6"/>
        </w:numPr>
        <w:spacing w:after="0" w:line="240" w:lineRule="auto"/>
        <w:rPr>
          <w:rFonts w:ascii="Arial" w:hAnsi="Arial" w:cs="Arial"/>
        </w:rPr>
      </w:pPr>
      <w:r>
        <w:rPr>
          <w:rFonts w:ascii="Arial" w:hAnsi="Arial" w:cs="Arial"/>
        </w:rPr>
        <w:t>The proposal creates greater severance between the town centre and the residential areas to the North of the viaduct. Large by-passes and ring-roads with their low permeability have proven to limit a town’s potential to expand and grow with time and many Councils now find themselves faced with trying to un-pick these interventions.</w:t>
      </w:r>
    </w:p>
    <w:p w:rsidR="00FE25AB" w:rsidRDefault="00FE25AB">
      <w:pPr>
        <w:pStyle w:val="ListParagraph"/>
        <w:numPr>
          <w:ilvl w:val="0"/>
          <w:numId w:val="6"/>
        </w:numPr>
        <w:spacing w:after="0" w:line="240" w:lineRule="auto"/>
        <w:rPr>
          <w:rFonts w:ascii="Arial" w:hAnsi="Arial" w:cs="Arial"/>
        </w:rPr>
      </w:pPr>
      <w:r>
        <w:rPr>
          <w:rFonts w:ascii="Arial" w:hAnsi="Arial" w:cs="Arial"/>
        </w:rPr>
        <w:t xml:space="preserve">Permitting fast-flowing vehicles to bypass </w:t>
      </w:r>
      <w:proofErr w:type="spellStart"/>
      <w:r>
        <w:rPr>
          <w:rFonts w:ascii="Arial" w:hAnsi="Arial" w:cs="Arial"/>
        </w:rPr>
        <w:t>Strood</w:t>
      </w:r>
      <w:proofErr w:type="spellEnd"/>
      <w:r>
        <w:rPr>
          <w:rFonts w:ascii="Arial" w:hAnsi="Arial" w:cs="Arial"/>
        </w:rPr>
        <w:t xml:space="preserve"> will only intensify congestion in Rochester, as it arrives on Corporation Street which itself has already been recognised as creating severance between Rochester Town Centre and the proposed development area of Rochester Riverside.</w:t>
      </w:r>
    </w:p>
    <w:p w:rsidR="00FE25AB" w:rsidRDefault="00FE25AB">
      <w:pPr>
        <w:rPr>
          <w:b/>
          <w:bCs/>
        </w:rPr>
      </w:pPr>
    </w:p>
    <w:p w:rsidR="00FE25AB" w:rsidRDefault="00FE25AB">
      <w:pPr>
        <w:rPr>
          <w:b/>
          <w:bCs/>
        </w:rPr>
      </w:pPr>
      <w:r>
        <w:rPr>
          <w:b/>
          <w:bCs/>
        </w:rPr>
        <w:t>Option D – Revert one-way to two-way to ‘Reclaim the High Street’</w:t>
      </w:r>
    </w:p>
    <w:p w:rsidR="00FE25AB" w:rsidRDefault="00FE25AB"/>
    <w:p w:rsidR="00FE25AB" w:rsidRDefault="00FE25AB">
      <w:r>
        <w:t xml:space="preserve">This option was initially conceived as part of the “Shape-up </w:t>
      </w:r>
      <w:proofErr w:type="spellStart"/>
      <w:r>
        <w:t>Strood</w:t>
      </w:r>
      <w:proofErr w:type="spellEnd"/>
      <w:r>
        <w:t xml:space="preserve"> “study and then developed further to form the basis of the SPAG appraisal that secured funding for the environmental improvements for </w:t>
      </w:r>
      <w:proofErr w:type="spellStart"/>
      <w:r>
        <w:t>Strood</w:t>
      </w:r>
      <w:proofErr w:type="spellEnd"/>
      <w:r>
        <w:t xml:space="preserve">. It permits a low speed-high volume of continuous traffic to flow along Commercial Road in both directions to relieve the traffic burden on the High Street, returning civility and quality to the town centre. </w:t>
      </w:r>
    </w:p>
    <w:p w:rsidR="00FE25AB" w:rsidRDefault="00FE25AB"/>
    <w:p w:rsidR="00FE25AB" w:rsidRDefault="00FE25AB">
      <w:r>
        <w:t xml:space="preserve">However, without measures to discourage through traffic through </w:t>
      </w:r>
      <w:proofErr w:type="spellStart"/>
      <w:r>
        <w:t>Strood</w:t>
      </w:r>
      <w:proofErr w:type="spellEnd"/>
      <w:r>
        <w:t xml:space="preserve"> town centre, this concept could cause additional severance, by creating a disconnect between the newer commercial sector to the east of the town centre and the more traditional high street section to the west of the town centre. </w:t>
      </w:r>
    </w:p>
    <w:p w:rsidR="00FE25AB" w:rsidRDefault="00FE25AB"/>
    <w:p w:rsidR="00FE25AB" w:rsidRDefault="00FE25AB">
      <w:pPr>
        <w:rPr>
          <w:b/>
          <w:bCs/>
        </w:rPr>
      </w:pPr>
      <w:r>
        <w:rPr>
          <w:b/>
          <w:bCs/>
        </w:rPr>
        <w:t>Option E – Park and Ride, and Knight Road Extension</w:t>
      </w:r>
    </w:p>
    <w:p w:rsidR="00FE25AB" w:rsidRDefault="00FE25AB"/>
    <w:p w:rsidR="00FE25AB" w:rsidRDefault="00FE25AB">
      <w:r>
        <w:t xml:space="preserve">This option looked to go a step further than Option D and included a Park and Ride scheme and also an extension of Knight Road through the industrial area to the west of </w:t>
      </w:r>
      <w:proofErr w:type="spellStart"/>
      <w:r>
        <w:t>Strood</w:t>
      </w:r>
      <w:proofErr w:type="spellEnd"/>
      <w:r>
        <w:t xml:space="preserve"> to permit access for HGV’s and other industrial vehicles from the M2 and away from High Street. It also included for the introduction of an “early warning” signage network that would advise drivers of most efficient routes and real-time car park vacancies </w:t>
      </w:r>
      <w:proofErr w:type="spellStart"/>
      <w:r>
        <w:t>etc</w:t>
      </w:r>
      <w:proofErr w:type="spellEnd"/>
      <w:r>
        <w:t xml:space="preserve"> within the </w:t>
      </w:r>
      <w:proofErr w:type="spellStart"/>
      <w:r>
        <w:t>Strood</w:t>
      </w:r>
      <w:proofErr w:type="spellEnd"/>
      <w:r>
        <w:t xml:space="preserve"> to reduce unnecessary journeys through the High Street etc.</w:t>
      </w:r>
    </w:p>
    <w:p w:rsidR="00FE25AB" w:rsidRDefault="00FE25AB"/>
    <w:p w:rsidR="00FE25AB" w:rsidRDefault="00FE25AB">
      <w:r>
        <w:t xml:space="preserve">Initial analysis of this option concluded that this would not be a viable option, due to the lack of Council control on car parking in the area. With the ease of car parking in </w:t>
      </w:r>
      <w:proofErr w:type="spellStart"/>
      <w:r>
        <w:t>Strood</w:t>
      </w:r>
      <w:proofErr w:type="spellEnd"/>
      <w:r>
        <w:t xml:space="preserve"> town centre, and in particular the new commercial area to the east of the high street, a park and ride bus service would not be a commercially viable service to operate. </w:t>
      </w:r>
    </w:p>
    <w:p w:rsidR="00FE25AB" w:rsidRDefault="00FE25AB"/>
    <w:p w:rsidR="00FE25AB" w:rsidRDefault="00FE25AB">
      <w:pPr>
        <w:rPr>
          <w:b/>
          <w:bCs/>
        </w:rPr>
      </w:pPr>
      <w:r>
        <w:rPr>
          <w:b/>
          <w:bCs/>
        </w:rPr>
        <w:t>Option F – Do something (including other LGF projects)</w:t>
      </w:r>
    </w:p>
    <w:p w:rsidR="00FE25AB" w:rsidRDefault="00FE25AB"/>
    <w:p w:rsidR="00FE25AB" w:rsidRDefault="00FE25AB">
      <w:pPr>
        <w:autoSpaceDE w:val="0"/>
        <w:autoSpaceDN w:val="0"/>
        <w:adjustRightInd w:val="0"/>
      </w:pPr>
      <w:r>
        <w:t xml:space="preserve">This option proposes an integrated a package of traffic management measures and network improvements to encourage drivers to use the A289, which would result in improvement to journey times through </w:t>
      </w:r>
      <w:proofErr w:type="spellStart"/>
      <w:r>
        <w:t>Strood</w:t>
      </w:r>
      <w:proofErr w:type="spellEnd"/>
      <w:r>
        <w:t xml:space="preserve">. </w:t>
      </w:r>
      <w:r>
        <w:rPr>
          <w:rFonts w:ascii="GillSans" w:hAnsi="GillSans" w:cs="GillSans"/>
        </w:rPr>
        <w:t xml:space="preserve">These interventions would have potential benefits for reducing congestion; facilitating new housing; encouraging businesses; improving the retail offer / environment; encouraging sustainable transport and; improving air quality. </w:t>
      </w:r>
      <w:r>
        <w:t>The works would include:</w:t>
      </w:r>
    </w:p>
    <w:p w:rsidR="00FE25AB" w:rsidRDefault="00FE25AB">
      <w:pPr>
        <w:pStyle w:val="ListParagraph"/>
        <w:numPr>
          <w:ilvl w:val="0"/>
          <w:numId w:val="6"/>
        </w:numPr>
        <w:spacing w:after="0" w:line="240" w:lineRule="auto"/>
        <w:ind w:left="1434" w:hanging="357"/>
        <w:rPr>
          <w:rFonts w:ascii="Arial" w:hAnsi="Arial" w:cs="Arial"/>
        </w:rPr>
      </w:pPr>
      <w:r>
        <w:rPr>
          <w:rFonts w:ascii="GillSans" w:hAnsi="GillSans" w:cs="GillSans"/>
        </w:rPr>
        <w:t>A p</w:t>
      </w:r>
      <w:r>
        <w:rPr>
          <w:rFonts w:ascii="Arial" w:hAnsi="Arial" w:cs="Arial"/>
        </w:rPr>
        <w:t xml:space="preserve">ackage of  </w:t>
      </w:r>
      <w:r>
        <w:rPr>
          <w:rFonts w:ascii="GillSans" w:hAnsi="GillSans" w:cs="GillSans"/>
        </w:rPr>
        <w:t>Town Centre traffic management improvement measures</w:t>
      </w:r>
      <w:r>
        <w:rPr>
          <w:rFonts w:ascii="Arial" w:hAnsi="Arial" w:cs="Arial"/>
        </w:rPr>
        <w:t xml:space="preserve"> in the centre of </w:t>
      </w:r>
      <w:proofErr w:type="spellStart"/>
      <w:r>
        <w:rPr>
          <w:rFonts w:ascii="Arial" w:hAnsi="Arial" w:cs="Arial"/>
        </w:rPr>
        <w:t>Strood</w:t>
      </w:r>
      <w:proofErr w:type="spellEnd"/>
      <w:r>
        <w:rPr>
          <w:rFonts w:ascii="Arial" w:hAnsi="Arial" w:cs="Arial"/>
        </w:rPr>
        <w:t xml:space="preserve"> and town centre connections, taking into account constraints presented by existing railway arches that circle the town; </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 xml:space="preserve">Access improvements for vehicles, pedestrians and cyclists to regeneration sites at </w:t>
      </w:r>
      <w:proofErr w:type="spellStart"/>
      <w:r>
        <w:rPr>
          <w:rFonts w:ascii="Arial" w:hAnsi="Arial" w:cs="Arial"/>
        </w:rPr>
        <w:t>Strood</w:t>
      </w:r>
      <w:proofErr w:type="spellEnd"/>
      <w:r>
        <w:rPr>
          <w:rFonts w:ascii="Arial" w:hAnsi="Arial" w:cs="Arial"/>
        </w:rPr>
        <w:t xml:space="preserve"> Riverside and the former Civic Centre site, to facilitate the development of these sites;</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Package of pedestrian accessibility, de-cluttering and public realm improvements in the town centre, expanding on the principles detailed in option B;</w:t>
      </w:r>
    </w:p>
    <w:p w:rsidR="00FE25AB" w:rsidRDefault="00FE25AB">
      <w:pPr>
        <w:pStyle w:val="ListParagraph"/>
        <w:numPr>
          <w:ilvl w:val="0"/>
          <w:numId w:val="6"/>
        </w:numPr>
        <w:spacing w:after="0" w:line="240" w:lineRule="auto"/>
        <w:ind w:left="1434" w:hanging="357"/>
        <w:rPr>
          <w:rFonts w:ascii="Arial" w:hAnsi="Arial" w:cs="Arial"/>
        </w:rPr>
      </w:pPr>
      <w:r>
        <w:rPr>
          <w:rFonts w:ascii="GillSans" w:hAnsi="GillSans" w:cs="GillSans"/>
        </w:rPr>
        <w:t>A package of cyclist accessibility improvements throughout town centre;</w:t>
      </w:r>
    </w:p>
    <w:p w:rsidR="00FE25AB" w:rsidRDefault="00FE25AB">
      <w:pPr>
        <w:pStyle w:val="ListParagraph"/>
        <w:numPr>
          <w:ilvl w:val="0"/>
          <w:numId w:val="6"/>
        </w:numPr>
        <w:spacing w:after="0" w:line="240" w:lineRule="auto"/>
        <w:ind w:left="1434" w:hanging="357"/>
        <w:rPr>
          <w:rFonts w:ascii="Arial" w:hAnsi="Arial" w:cs="Arial"/>
        </w:rPr>
      </w:pPr>
      <w:r>
        <w:rPr>
          <w:rFonts w:ascii="GillSans" w:hAnsi="GillSans" w:cs="GillSans"/>
        </w:rPr>
        <w:t xml:space="preserve">Associated urban realm and environmental improvements ; </w:t>
      </w:r>
    </w:p>
    <w:p w:rsidR="00FE25AB" w:rsidRDefault="00FE25AB">
      <w:pPr>
        <w:pStyle w:val="ListParagraph"/>
        <w:numPr>
          <w:ilvl w:val="0"/>
          <w:numId w:val="6"/>
        </w:numPr>
        <w:spacing w:after="0" w:line="240" w:lineRule="auto"/>
        <w:ind w:left="1434" w:hanging="357"/>
        <w:rPr>
          <w:rFonts w:ascii="Arial" w:hAnsi="Arial" w:cs="Arial"/>
        </w:rPr>
      </w:pPr>
      <w:r>
        <w:rPr>
          <w:rFonts w:ascii="GillSans" w:hAnsi="GillSans" w:cs="GillSans"/>
        </w:rPr>
        <w:t>Measures to unlock and support housing and employment development sites;</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 xml:space="preserve">A289 Four Elms to Medway Tunnel journey time and network improvements to improve vehicular access from Medway City Estate (funded through </w:t>
      </w:r>
      <w:proofErr w:type="spellStart"/>
      <w:r>
        <w:rPr>
          <w:rFonts w:ascii="Arial" w:hAnsi="Arial" w:cs="Arial"/>
        </w:rPr>
        <w:t>DfT</w:t>
      </w:r>
      <w:proofErr w:type="spellEnd"/>
      <w:r>
        <w:rPr>
          <w:rFonts w:ascii="Arial" w:hAnsi="Arial" w:cs="Arial"/>
        </w:rPr>
        <w:t xml:space="preserve"> agreed LGF project);</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 xml:space="preserve">Medway City Estate connectivity improvements including sustainable transport measures (funded through </w:t>
      </w:r>
      <w:proofErr w:type="spellStart"/>
      <w:r>
        <w:rPr>
          <w:rFonts w:ascii="Arial" w:hAnsi="Arial" w:cs="Arial"/>
        </w:rPr>
        <w:t>DfT</w:t>
      </w:r>
      <w:proofErr w:type="spellEnd"/>
      <w:r>
        <w:rPr>
          <w:rFonts w:ascii="Arial" w:hAnsi="Arial" w:cs="Arial"/>
        </w:rPr>
        <w:t xml:space="preserve"> agreed LGF project); and</w:t>
      </w:r>
    </w:p>
    <w:p w:rsidR="00FE25AB" w:rsidRDefault="00FE25AB">
      <w:pPr>
        <w:pStyle w:val="ListParagraph"/>
        <w:numPr>
          <w:ilvl w:val="0"/>
          <w:numId w:val="6"/>
        </w:numPr>
        <w:spacing w:after="0" w:line="240" w:lineRule="auto"/>
        <w:ind w:left="1434" w:hanging="357"/>
        <w:rPr>
          <w:rFonts w:ascii="Arial" w:hAnsi="Arial" w:cs="Arial"/>
        </w:rPr>
      </w:pPr>
      <w:r>
        <w:rPr>
          <w:rFonts w:ascii="Arial" w:hAnsi="Arial" w:cs="Arial"/>
        </w:rPr>
        <w:t xml:space="preserve">New railway station at </w:t>
      </w:r>
      <w:proofErr w:type="spellStart"/>
      <w:r>
        <w:rPr>
          <w:rFonts w:ascii="Arial" w:hAnsi="Arial" w:cs="Arial"/>
        </w:rPr>
        <w:t>Strood</w:t>
      </w:r>
      <w:proofErr w:type="spellEnd"/>
      <w:r>
        <w:rPr>
          <w:rFonts w:ascii="Arial" w:hAnsi="Arial" w:cs="Arial"/>
        </w:rPr>
        <w:t xml:space="preserve"> and improved connectivity between the station and the town centre (Round 2 LGF bid submitted).</w:t>
      </w:r>
    </w:p>
    <w:p w:rsidR="00FE25AB" w:rsidRDefault="00FE25AB">
      <w:r>
        <w:t xml:space="preserve"> </w:t>
      </w:r>
    </w:p>
    <w:p w:rsidR="00FE25AB" w:rsidRDefault="00FE25AB">
      <w:pPr>
        <w:rPr>
          <w:rFonts w:ascii="GillSans-Bold" w:hAnsi="GillSans-Bold" w:cs="GillSans-Bold"/>
          <w:b/>
          <w:bCs/>
        </w:rPr>
      </w:pPr>
      <w:r>
        <w:rPr>
          <w:rFonts w:ascii="GillSans-Bold" w:hAnsi="GillSans-Bold" w:cs="GillSans-Bold"/>
          <w:b/>
          <w:bCs/>
        </w:rPr>
        <w:t>Option G – Do maximum</w:t>
      </w:r>
    </w:p>
    <w:p w:rsidR="00FE25AB" w:rsidRDefault="00FE25AB">
      <w:pPr>
        <w:rPr>
          <w:rFonts w:ascii="GillSans-Bold" w:hAnsi="GillSans-Bold" w:cs="GillSans-Bold"/>
          <w:b/>
          <w:bCs/>
        </w:rPr>
      </w:pPr>
    </w:p>
    <w:p w:rsidR="00FE25AB" w:rsidRDefault="00FE25AB">
      <w:pPr>
        <w:rPr>
          <w:rFonts w:ascii="GillSans-Bold" w:hAnsi="GillSans-Bold" w:cs="GillSans-Bold"/>
        </w:rPr>
      </w:pPr>
      <w:r>
        <w:rPr>
          <w:rFonts w:ascii="GillSans-Bold" w:hAnsi="GillSans-Bold" w:cs="GillSans-Bold"/>
        </w:rPr>
        <w:t>Combination of option F with additional measures in option E. Concerns have already been detailed regarding the Park &amp; Ride option in Option E.</w:t>
      </w:r>
    </w:p>
    <w:p w:rsidR="00FE25AB" w:rsidRDefault="00FE25AB">
      <w:pPr>
        <w:rPr>
          <w:rFonts w:ascii="GillSans-Bold" w:hAnsi="GillSans-Bold" w:cs="GillSans-Bold"/>
        </w:rPr>
      </w:pPr>
    </w:p>
    <w:p w:rsidR="00FE25AB" w:rsidRDefault="00FE25AB">
      <w:pPr>
        <w:ind w:left="0"/>
        <w:rPr>
          <w:b/>
          <w:bCs/>
          <w:i/>
          <w:iCs/>
        </w:rPr>
      </w:pPr>
      <w:r>
        <w:rPr>
          <w:b/>
          <w:bCs/>
          <w:i/>
          <w:iCs/>
        </w:rPr>
        <w:t>2.5.3</w:t>
      </w:r>
      <w:r>
        <w:rPr>
          <w:b/>
          <w:bCs/>
          <w:i/>
          <w:iCs/>
        </w:rPr>
        <w:tab/>
        <w:t>Option Assessment</w:t>
      </w:r>
    </w:p>
    <w:p w:rsidR="00FE25AB" w:rsidRDefault="00FE25AB">
      <w:pPr>
        <w:ind w:left="0"/>
      </w:pPr>
    </w:p>
    <w:p w:rsidR="00FE25AB" w:rsidRDefault="00FE25AB">
      <w:r>
        <w:t xml:space="preserve">All the options considered were tested against the five objectives of Medway’s Local Transport Plan. </w:t>
      </w:r>
    </w:p>
    <w:p w:rsidR="00FE25AB" w:rsidRDefault="00FE25AB"/>
    <w:p w:rsidR="00FE25AB" w:rsidRDefault="00FE25AB">
      <w:r>
        <w:t xml:space="preserve">Table 2b provides a summary of the scheme options listed above in terms of the objectives and critical success factors for the scheme. </w:t>
      </w:r>
    </w:p>
    <w:p w:rsidR="00FE25AB" w:rsidRDefault="00FE25AB">
      <w:pPr>
        <w:ind w:left="0" w:firstLine="720"/>
        <w:rPr>
          <w:b/>
          <w:bCs/>
          <w:color w:val="E36C0A"/>
        </w:rPr>
      </w:pPr>
    </w:p>
    <w:p w:rsidR="00FE25AB" w:rsidRDefault="00FE25AB">
      <w:pPr>
        <w:ind w:left="0" w:firstLine="720"/>
        <w:rPr>
          <w:b/>
          <w:bCs/>
        </w:rPr>
      </w:pPr>
      <w:r>
        <w:rPr>
          <w:b/>
          <w:bCs/>
          <w:color w:val="E36C0A"/>
        </w:rPr>
        <w:br w:type="page"/>
      </w:r>
      <w:r>
        <w:rPr>
          <w:b/>
          <w:bCs/>
        </w:rPr>
        <w:lastRenderedPageBreak/>
        <w:t>Table 2b - Summary of Scheme Option Assessment and Sifting</w:t>
      </w:r>
    </w:p>
    <w:p w:rsidR="00FE25AB" w:rsidRDefault="00FE25AB">
      <w:pPr>
        <w:ind w:left="0"/>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1180"/>
        <w:gridCol w:w="20"/>
        <w:gridCol w:w="1160"/>
        <w:gridCol w:w="40"/>
        <w:gridCol w:w="1140"/>
        <w:gridCol w:w="60"/>
        <w:gridCol w:w="1080"/>
        <w:gridCol w:w="40"/>
        <w:gridCol w:w="1160"/>
        <w:gridCol w:w="20"/>
        <w:gridCol w:w="1095"/>
      </w:tblGrid>
      <w:tr w:rsidR="00FE25AB">
        <w:trPr>
          <w:trHeight w:val="589"/>
          <w:tblHeader/>
          <w:jc w:val="right"/>
        </w:trPr>
        <w:tc>
          <w:tcPr>
            <w:tcW w:w="1652" w:type="dxa"/>
            <w:shd w:val="clear" w:color="auto" w:fill="E6E6E6"/>
            <w:vAlign w:val="center"/>
          </w:tcPr>
          <w:p w:rsidR="00FE25AB" w:rsidRDefault="00FE25AB">
            <w:pPr>
              <w:ind w:left="0"/>
              <w:rPr>
                <w:sz w:val="20"/>
                <w:szCs w:val="20"/>
              </w:rPr>
            </w:pPr>
            <w:r>
              <w:rPr>
                <w:sz w:val="20"/>
                <w:szCs w:val="20"/>
              </w:rPr>
              <w:t>Reference to:</w:t>
            </w:r>
          </w:p>
        </w:tc>
        <w:tc>
          <w:tcPr>
            <w:tcW w:w="1180" w:type="dxa"/>
            <w:shd w:val="clear" w:color="auto" w:fill="E6E6E6"/>
            <w:vAlign w:val="center"/>
          </w:tcPr>
          <w:p w:rsidR="00FE25AB" w:rsidRDefault="00FE25AB">
            <w:pPr>
              <w:ind w:left="0"/>
              <w:jc w:val="center"/>
              <w:rPr>
                <w:sz w:val="20"/>
                <w:szCs w:val="20"/>
              </w:rPr>
            </w:pPr>
            <w:r>
              <w:rPr>
                <w:sz w:val="20"/>
                <w:szCs w:val="20"/>
              </w:rPr>
              <w:t>Option A/B</w:t>
            </w:r>
          </w:p>
        </w:tc>
        <w:tc>
          <w:tcPr>
            <w:tcW w:w="1180" w:type="dxa"/>
            <w:gridSpan w:val="2"/>
            <w:shd w:val="clear" w:color="auto" w:fill="E6E6E6"/>
            <w:vAlign w:val="center"/>
          </w:tcPr>
          <w:p w:rsidR="00FE25AB" w:rsidRDefault="00FE25AB">
            <w:pPr>
              <w:ind w:left="0"/>
              <w:jc w:val="center"/>
              <w:rPr>
                <w:sz w:val="20"/>
                <w:szCs w:val="20"/>
              </w:rPr>
            </w:pPr>
            <w:r>
              <w:rPr>
                <w:sz w:val="20"/>
                <w:szCs w:val="20"/>
              </w:rPr>
              <w:t>Option C</w:t>
            </w:r>
          </w:p>
        </w:tc>
        <w:tc>
          <w:tcPr>
            <w:tcW w:w="1180" w:type="dxa"/>
            <w:gridSpan w:val="2"/>
            <w:shd w:val="clear" w:color="auto" w:fill="E6E6E6"/>
            <w:vAlign w:val="center"/>
          </w:tcPr>
          <w:p w:rsidR="00FE25AB" w:rsidRDefault="00FE25AB">
            <w:pPr>
              <w:ind w:left="0"/>
              <w:jc w:val="center"/>
              <w:rPr>
                <w:sz w:val="20"/>
                <w:szCs w:val="20"/>
              </w:rPr>
            </w:pPr>
            <w:r>
              <w:rPr>
                <w:sz w:val="20"/>
                <w:szCs w:val="20"/>
              </w:rPr>
              <w:t>Option D</w:t>
            </w:r>
          </w:p>
        </w:tc>
        <w:tc>
          <w:tcPr>
            <w:tcW w:w="1180" w:type="dxa"/>
            <w:gridSpan w:val="3"/>
            <w:shd w:val="clear" w:color="auto" w:fill="E6E6E6"/>
            <w:vAlign w:val="center"/>
          </w:tcPr>
          <w:p w:rsidR="00FE25AB" w:rsidRDefault="00FE25AB">
            <w:pPr>
              <w:ind w:left="0"/>
              <w:jc w:val="center"/>
              <w:rPr>
                <w:sz w:val="20"/>
                <w:szCs w:val="20"/>
              </w:rPr>
            </w:pPr>
            <w:r>
              <w:rPr>
                <w:sz w:val="20"/>
                <w:szCs w:val="20"/>
              </w:rPr>
              <w:t>Option E</w:t>
            </w:r>
          </w:p>
        </w:tc>
        <w:tc>
          <w:tcPr>
            <w:tcW w:w="1180" w:type="dxa"/>
            <w:gridSpan w:val="2"/>
            <w:shd w:val="clear" w:color="auto" w:fill="E6E6E6"/>
            <w:vAlign w:val="center"/>
          </w:tcPr>
          <w:p w:rsidR="00FE25AB" w:rsidRDefault="00FE25AB">
            <w:pPr>
              <w:ind w:left="0"/>
              <w:jc w:val="center"/>
              <w:rPr>
                <w:sz w:val="20"/>
                <w:szCs w:val="20"/>
              </w:rPr>
            </w:pPr>
            <w:r>
              <w:rPr>
                <w:sz w:val="20"/>
                <w:szCs w:val="20"/>
              </w:rPr>
              <w:t>Option F</w:t>
            </w:r>
          </w:p>
        </w:tc>
        <w:tc>
          <w:tcPr>
            <w:tcW w:w="1095" w:type="dxa"/>
            <w:shd w:val="clear" w:color="auto" w:fill="E6E6E6"/>
            <w:vAlign w:val="center"/>
          </w:tcPr>
          <w:p w:rsidR="00FE25AB" w:rsidRDefault="00FE25AB">
            <w:pPr>
              <w:ind w:left="0"/>
              <w:jc w:val="center"/>
              <w:rPr>
                <w:sz w:val="20"/>
                <w:szCs w:val="20"/>
              </w:rPr>
            </w:pPr>
            <w:r>
              <w:rPr>
                <w:sz w:val="20"/>
                <w:szCs w:val="20"/>
              </w:rPr>
              <w:t>Option G</w:t>
            </w:r>
          </w:p>
        </w:tc>
      </w:tr>
      <w:tr w:rsidR="00FE25AB">
        <w:trPr>
          <w:trHeight w:val="1120"/>
          <w:tblHeader/>
          <w:jc w:val="right"/>
        </w:trPr>
        <w:tc>
          <w:tcPr>
            <w:tcW w:w="1652" w:type="dxa"/>
            <w:shd w:val="clear" w:color="auto" w:fill="E6E6E6"/>
            <w:vAlign w:val="center"/>
          </w:tcPr>
          <w:p w:rsidR="00FE25AB" w:rsidRDefault="00FE25AB">
            <w:pPr>
              <w:ind w:left="0"/>
              <w:rPr>
                <w:sz w:val="20"/>
                <w:szCs w:val="20"/>
              </w:rPr>
            </w:pPr>
            <w:r>
              <w:rPr>
                <w:sz w:val="20"/>
                <w:szCs w:val="20"/>
              </w:rPr>
              <w:t>Description of Option:</w:t>
            </w:r>
          </w:p>
        </w:tc>
        <w:tc>
          <w:tcPr>
            <w:tcW w:w="1180" w:type="dxa"/>
            <w:shd w:val="clear" w:color="auto" w:fill="FFFFFF"/>
            <w:vAlign w:val="center"/>
          </w:tcPr>
          <w:p w:rsidR="00FE25AB" w:rsidRDefault="00FE25AB">
            <w:pPr>
              <w:ind w:left="0"/>
              <w:jc w:val="center"/>
              <w:rPr>
                <w:sz w:val="20"/>
                <w:szCs w:val="20"/>
              </w:rPr>
            </w:pPr>
            <w:r>
              <w:rPr>
                <w:sz w:val="20"/>
                <w:szCs w:val="20"/>
              </w:rPr>
              <w:t>Do Nothing / Do Minimum</w:t>
            </w:r>
          </w:p>
        </w:tc>
        <w:tc>
          <w:tcPr>
            <w:tcW w:w="1180" w:type="dxa"/>
            <w:gridSpan w:val="2"/>
            <w:shd w:val="clear" w:color="auto" w:fill="FFFFFF"/>
            <w:vAlign w:val="center"/>
          </w:tcPr>
          <w:p w:rsidR="00FE25AB" w:rsidRDefault="00FE25AB">
            <w:pPr>
              <w:ind w:left="0"/>
              <w:jc w:val="center"/>
              <w:rPr>
                <w:sz w:val="20"/>
                <w:szCs w:val="20"/>
              </w:rPr>
            </w:pPr>
            <w:r>
              <w:rPr>
                <w:sz w:val="20"/>
                <w:szCs w:val="20"/>
              </w:rPr>
              <w:t>New ring road</w:t>
            </w:r>
          </w:p>
        </w:tc>
        <w:tc>
          <w:tcPr>
            <w:tcW w:w="1180" w:type="dxa"/>
            <w:gridSpan w:val="2"/>
            <w:shd w:val="clear" w:color="auto" w:fill="FFFFFF"/>
            <w:vAlign w:val="center"/>
          </w:tcPr>
          <w:p w:rsidR="00FE25AB" w:rsidRDefault="00FE25AB">
            <w:pPr>
              <w:ind w:left="0"/>
              <w:jc w:val="center"/>
              <w:rPr>
                <w:sz w:val="20"/>
                <w:szCs w:val="20"/>
              </w:rPr>
            </w:pPr>
            <w:r>
              <w:rPr>
                <w:sz w:val="20"/>
                <w:szCs w:val="20"/>
              </w:rPr>
              <w:t>Revert 1-way streets to 2-way</w:t>
            </w:r>
          </w:p>
        </w:tc>
        <w:tc>
          <w:tcPr>
            <w:tcW w:w="1180" w:type="dxa"/>
            <w:gridSpan w:val="3"/>
            <w:shd w:val="clear" w:color="auto" w:fill="FFFFFF"/>
            <w:vAlign w:val="center"/>
          </w:tcPr>
          <w:p w:rsidR="00FE25AB" w:rsidRDefault="00FE25AB">
            <w:pPr>
              <w:ind w:left="0"/>
              <w:jc w:val="center"/>
              <w:rPr>
                <w:sz w:val="20"/>
                <w:szCs w:val="20"/>
              </w:rPr>
            </w:pPr>
            <w:r>
              <w:rPr>
                <w:sz w:val="20"/>
                <w:szCs w:val="20"/>
              </w:rPr>
              <w:t>Park &amp; Ride / Knight Rd extension</w:t>
            </w:r>
          </w:p>
        </w:tc>
        <w:tc>
          <w:tcPr>
            <w:tcW w:w="1180" w:type="dxa"/>
            <w:gridSpan w:val="2"/>
            <w:shd w:val="clear" w:color="auto" w:fill="FFFFFF"/>
            <w:vAlign w:val="center"/>
          </w:tcPr>
          <w:p w:rsidR="00FE25AB" w:rsidRDefault="00FE25AB">
            <w:pPr>
              <w:ind w:left="0"/>
              <w:jc w:val="center"/>
              <w:rPr>
                <w:sz w:val="20"/>
                <w:szCs w:val="20"/>
              </w:rPr>
            </w:pPr>
            <w:r>
              <w:rPr>
                <w:sz w:val="20"/>
                <w:szCs w:val="20"/>
              </w:rPr>
              <w:t>Do something</w:t>
            </w:r>
          </w:p>
        </w:tc>
        <w:tc>
          <w:tcPr>
            <w:tcW w:w="1095" w:type="dxa"/>
            <w:shd w:val="clear" w:color="auto" w:fill="FFFFFF"/>
            <w:vAlign w:val="center"/>
          </w:tcPr>
          <w:p w:rsidR="00FE25AB" w:rsidRDefault="00FE25AB">
            <w:pPr>
              <w:ind w:left="0"/>
              <w:jc w:val="center"/>
              <w:rPr>
                <w:sz w:val="20"/>
                <w:szCs w:val="20"/>
              </w:rPr>
            </w:pPr>
            <w:r>
              <w:rPr>
                <w:sz w:val="20"/>
                <w:szCs w:val="20"/>
              </w:rPr>
              <w:t>Do Maximum</w:t>
            </w:r>
          </w:p>
        </w:tc>
      </w:tr>
      <w:tr w:rsidR="00FE25AB">
        <w:trPr>
          <w:trHeight w:val="554"/>
          <w:jc w:val="right"/>
        </w:trPr>
        <w:tc>
          <w:tcPr>
            <w:tcW w:w="8647" w:type="dxa"/>
            <w:gridSpan w:val="12"/>
            <w:shd w:val="clear" w:color="auto" w:fill="E6E6E6"/>
            <w:vAlign w:val="center"/>
          </w:tcPr>
          <w:p w:rsidR="00FE25AB" w:rsidRDefault="00FE25AB">
            <w:pPr>
              <w:ind w:left="0"/>
              <w:jc w:val="center"/>
              <w:rPr>
                <w:sz w:val="20"/>
                <w:szCs w:val="20"/>
              </w:rPr>
            </w:pPr>
            <w:r>
              <w:rPr>
                <w:sz w:val="20"/>
                <w:szCs w:val="20"/>
              </w:rPr>
              <w:t>Investment objectives linked to Medway LTP Priorities</w:t>
            </w:r>
          </w:p>
        </w:tc>
      </w:tr>
      <w:tr w:rsidR="00FE25AB">
        <w:trPr>
          <w:trHeight w:val="460"/>
          <w:jc w:val="right"/>
        </w:trPr>
        <w:tc>
          <w:tcPr>
            <w:tcW w:w="1652" w:type="dxa"/>
            <w:shd w:val="clear" w:color="auto" w:fill="E6E6E6"/>
            <w:vAlign w:val="center"/>
          </w:tcPr>
          <w:p w:rsidR="00FE25AB" w:rsidRDefault="00FE25AB">
            <w:pPr>
              <w:ind w:left="0"/>
              <w:jc w:val="right"/>
              <w:rPr>
                <w:sz w:val="20"/>
                <w:szCs w:val="20"/>
              </w:rPr>
            </w:pPr>
            <w:r>
              <w:rPr>
                <w:sz w:val="20"/>
                <w:szCs w:val="20"/>
              </w:rPr>
              <w:t xml:space="preserve">  Economic growth</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t>partial</w:t>
            </w:r>
          </w:p>
        </w:tc>
        <w:tc>
          <w:tcPr>
            <w:tcW w:w="1080" w:type="dxa"/>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c>
          <w:tcPr>
            <w:tcW w:w="1115" w:type="dxa"/>
            <w:gridSpan w:val="2"/>
            <w:shd w:val="clear" w:color="auto" w:fill="FFFFFF"/>
            <w:vAlign w:val="center"/>
          </w:tcPr>
          <w:p w:rsidR="00FE25AB" w:rsidRDefault="00FE25AB">
            <w:pPr>
              <w:ind w:left="0"/>
              <w:jc w:val="center"/>
              <w:rPr>
                <w:sz w:val="20"/>
                <w:szCs w:val="20"/>
              </w:rPr>
            </w:pPr>
            <w:r>
              <w:rPr>
                <w:sz w:val="20"/>
                <w:szCs w:val="20"/>
              </w:rPr>
              <w:t>partial</w:t>
            </w:r>
          </w:p>
        </w:tc>
      </w:tr>
      <w:tr w:rsidR="00FE25AB">
        <w:trPr>
          <w:trHeight w:val="460"/>
          <w:jc w:val="right"/>
        </w:trPr>
        <w:tc>
          <w:tcPr>
            <w:tcW w:w="1652" w:type="dxa"/>
            <w:shd w:val="clear" w:color="auto" w:fill="E6E6E6"/>
            <w:vAlign w:val="center"/>
          </w:tcPr>
          <w:p w:rsidR="00FE25AB" w:rsidRDefault="00FE25AB">
            <w:pPr>
              <w:ind w:left="0"/>
              <w:jc w:val="right"/>
              <w:rPr>
                <w:sz w:val="20"/>
                <w:szCs w:val="20"/>
              </w:rPr>
            </w:pPr>
            <w:r>
              <w:rPr>
                <w:sz w:val="20"/>
                <w:szCs w:val="20"/>
              </w:rPr>
              <w:t>Connectivity</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080" w:type="dxa"/>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c>
          <w:tcPr>
            <w:tcW w:w="1115" w:type="dxa"/>
            <w:gridSpan w:val="2"/>
            <w:shd w:val="clear" w:color="auto" w:fill="FFFFFF"/>
            <w:vAlign w:val="center"/>
          </w:tcPr>
          <w:p w:rsidR="00FE25AB" w:rsidRDefault="00FE25AB">
            <w:pPr>
              <w:ind w:left="0"/>
              <w:jc w:val="center"/>
              <w:rPr>
                <w:sz w:val="20"/>
                <w:szCs w:val="20"/>
              </w:rPr>
            </w:pPr>
            <w:r>
              <w:rPr>
                <w:sz w:val="20"/>
                <w:szCs w:val="20"/>
              </w:rPr>
              <w:t>partial</w:t>
            </w:r>
          </w:p>
        </w:tc>
      </w:tr>
      <w:tr w:rsidR="00FE25AB">
        <w:trPr>
          <w:trHeight w:val="460"/>
          <w:jc w:val="right"/>
        </w:trPr>
        <w:tc>
          <w:tcPr>
            <w:tcW w:w="1652" w:type="dxa"/>
            <w:shd w:val="clear" w:color="auto" w:fill="E6E6E6"/>
            <w:vAlign w:val="center"/>
          </w:tcPr>
          <w:p w:rsidR="00FE25AB" w:rsidRDefault="00FE25AB">
            <w:pPr>
              <w:ind w:left="0"/>
              <w:jc w:val="right"/>
              <w:rPr>
                <w:sz w:val="20"/>
                <w:szCs w:val="20"/>
              </w:rPr>
            </w:pPr>
            <w:r>
              <w:rPr>
                <w:sz w:val="20"/>
                <w:szCs w:val="20"/>
              </w:rPr>
              <w:t xml:space="preserve">  Natural Environ.</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080" w:type="dxa"/>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c>
          <w:tcPr>
            <w:tcW w:w="1115"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r>
      <w:tr w:rsidR="00FE25AB">
        <w:trPr>
          <w:trHeight w:val="460"/>
          <w:jc w:val="right"/>
        </w:trPr>
        <w:tc>
          <w:tcPr>
            <w:tcW w:w="1652" w:type="dxa"/>
            <w:shd w:val="clear" w:color="auto" w:fill="E6E6E6"/>
            <w:vAlign w:val="center"/>
          </w:tcPr>
          <w:p w:rsidR="00FE25AB" w:rsidRDefault="00FE25AB">
            <w:pPr>
              <w:ind w:left="0"/>
              <w:jc w:val="right"/>
              <w:rPr>
                <w:sz w:val="20"/>
                <w:szCs w:val="20"/>
              </w:rPr>
            </w:pPr>
            <w:r>
              <w:rPr>
                <w:sz w:val="20"/>
                <w:szCs w:val="20"/>
              </w:rPr>
              <w:t xml:space="preserve">  Equality</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r>
              <w:rPr>
                <w:sz w:val="20"/>
                <w:szCs w:val="20"/>
              </w:rPr>
              <w:t>/partial</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t>partial</w:t>
            </w:r>
          </w:p>
        </w:tc>
        <w:tc>
          <w:tcPr>
            <w:tcW w:w="1080" w:type="dxa"/>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c>
          <w:tcPr>
            <w:tcW w:w="1115"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r>
      <w:tr w:rsidR="00FE25AB">
        <w:trPr>
          <w:trHeight w:val="460"/>
          <w:jc w:val="right"/>
        </w:trPr>
        <w:tc>
          <w:tcPr>
            <w:tcW w:w="1652" w:type="dxa"/>
            <w:shd w:val="clear" w:color="auto" w:fill="E6E6E6"/>
            <w:vAlign w:val="center"/>
          </w:tcPr>
          <w:p w:rsidR="00FE25AB" w:rsidRDefault="00FE25AB">
            <w:pPr>
              <w:ind w:left="0"/>
              <w:jc w:val="right"/>
              <w:rPr>
                <w:sz w:val="20"/>
                <w:szCs w:val="20"/>
              </w:rPr>
            </w:pPr>
            <w:r>
              <w:rPr>
                <w:sz w:val="20"/>
                <w:szCs w:val="20"/>
              </w:rPr>
              <w:t xml:space="preserve">  Safety &amp; health</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r>
              <w:rPr>
                <w:sz w:val="20"/>
                <w:szCs w:val="20"/>
              </w:rPr>
              <w:t>/partial</w:t>
            </w:r>
          </w:p>
        </w:tc>
        <w:tc>
          <w:tcPr>
            <w:tcW w:w="1200" w:type="dxa"/>
            <w:gridSpan w:val="2"/>
            <w:shd w:val="clear" w:color="auto" w:fill="FFFFFF"/>
            <w:vAlign w:val="center"/>
          </w:tcPr>
          <w:p w:rsidR="00FE25AB" w:rsidRDefault="00FE25AB">
            <w:pPr>
              <w:ind w:left="0"/>
              <w:jc w:val="center"/>
              <w:rPr>
                <w:sz w:val="20"/>
                <w:szCs w:val="20"/>
              </w:rPr>
            </w:pPr>
            <w:r>
              <w:rPr>
                <w:sz w:val="20"/>
                <w:szCs w:val="20"/>
              </w:rPr>
              <w:t>partial</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080" w:type="dxa"/>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c>
          <w:tcPr>
            <w:tcW w:w="1115"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r>
      <w:tr w:rsidR="00FE25AB">
        <w:trPr>
          <w:trHeight w:val="467"/>
          <w:jc w:val="right"/>
        </w:trPr>
        <w:tc>
          <w:tcPr>
            <w:tcW w:w="8647" w:type="dxa"/>
            <w:gridSpan w:val="12"/>
            <w:shd w:val="clear" w:color="auto" w:fill="E6E6E6"/>
            <w:vAlign w:val="center"/>
          </w:tcPr>
          <w:p w:rsidR="00FE25AB" w:rsidRDefault="00FE25AB">
            <w:pPr>
              <w:ind w:left="0"/>
              <w:jc w:val="center"/>
              <w:rPr>
                <w:sz w:val="20"/>
                <w:szCs w:val="20"/>
              </w:rPr>
            </w:pPr>
            <w:r>
              <w:rPr>
                <w:sz w:val="20"/>
                <w:szCs w:val="20"/>
              </w:rPr>
              <w:t>Critical Success Factors</w:t>
            </w:r>
          </w:p>
        </w:tc>
      </w:tr>
      <w:tr w:rsidR="00FE25AB">
        <w:trPr>
          <w:trHeight w:val="690"/>
          <w:jc w:val="right"/>
        </w:trPr>
        <w:tc>
          <w:tcPr>
            <w:tcW w:w="1652" w:type="dxa"/>
            <w:shd w:val="clear" w:color="auto" w:fill="E6E6E6"/>
            <w:vAlign w:val="center"/>
          </w:tcPr>
          <w:p w:rsidR="00FE25AB" w:rsidRDefault="00FE25AB">
            <w:pPr>
              <w:ind w:left="0"/>
              <w:jc w:val="right"/>
              <w:rPr>
                <w:sz w:val="20"/>
                <w:szCs w:val="20"/>
              </w:rPr>
            </w:pPr>
            <w:r>
              <w:rPr>
                <w:sz w:val="20"/>
                <w:szCs w:val="20"/>
              </w:rPr>
              <w:t>1 Strategic Fit</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t>partial</w:t>
            </w:r>
          </w:p>
        </w:tc>
        <w:tc>
          <w:tcPr>
            <w:tcW w:w="1080" w:type="dxa"/>
            <w:shd w:val="clear" w:color="auto" w:fill="FFFFFF"/>
            <w:vAlign w:val="center"/>
          </w:tcPr>
          <w:p w:rsidR="00FE25AB" w:rsidRDefault="00FE25AB">
            <w:pPr>
              <w:ind w:left="0"/>
              <w:jc w:val="center"/>
              <w:rPr>
                <w:sz w:val="20"/>
                <w:szCs w:val="20"/>
              </w:rPr>
            </w:pPr>
            <w:r>
              <w:rPr>
                <w:sz w:val="20"/>
                <w:szCs w:val="20"/>
              </w:rPr>
              <w:sym w:font="Wingdings 2" w:char="F050"/>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c>
          <w:tcPr>
            <w:tcW w:w="1115"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r>
      <w:tr w:rsidR="00FE25AB">
        <w:trPr>
          <w:trHeight w:val="690"/>
          <w:jc w:val="right"/>
        </w:trPr>
        <w:tc>
          <w:tcPr>
            <w:tcW w:w="1652" w:type="dxa"/>
            <w:shd w:val="clear" w:color="auto" w:fill="E6E6E6"/>
            <w:vAlign w:val="center"/>
          </w:tcPr>
          <w:p w:rsidR="00FE25AB" w:rsidRDefault="00FE25AB">
            <w:pPr>
              <w:ind w:left="0"/>
              <w:jc w:val="right"/>
              <w:rPr>
                <w:sz w:val="20"/>
                <w:szCs w:val="20"/>
              </w:rPr>
            </w:pPr>
            <w:r>
              <w:rPr>
                <w:sz w:val="20"/>
                <w:szCs w:val="20"/>
              </w:rPr>
              <w:t>2 Economic Prosperity/ Value for Money</w:t>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c>
          <w:tcPr>
            <w:tcW w:w="1080" w:type="dxa"/>
            <w:shd w:val="clear" w:color="auto" w:fill="FFFFFF"/>
            <w:vAlign w:val="center"/>
          </w:tcPr>
          <w:p w:rsidR="00FE25AB" w:rsidRDefault="00FE25AB">
            <w:pPr>
              <w:ind w:left="0"/>
              <w:jc w:val="center"/>
              <w:rPr>
                <w:sz w:val="20"/>
                <w:szCs w:val="20"/>
              </w:rPr>
            </w:pPr>
            <w:r>
              <w:rPr>
                <w:sz w:val="20"/>
                <w:szCs w:val="20"/>
              </w:rPr>
              <w:sym w:font="Wingdings 2" w:char="F04F"/>
            </w:r>
          </w:p>
        </w:tc>
        <w:tc>
          <w:tcPr>
            <w:tcW w:w="1200" w:type="dxa"/>
            <w:gridSpan w:val="2"/>
            <w:shd w:val="clear" w:color="auto" w:fill="FFFFFF"/>
            <w:vAlign w:val="center"/>
          </w:tcPr>
          <w:p w:rsidR="00FE25AB" w:rsidRDefault="00FE25AB">
            <w:pPr>
              <w:ind w:left="0"/>
              <w:jc w:val="center"/>
              <w:rPr>
                <w:sz w:val="20"/>
                <w:szCs w:val="20"/>
              </w:rPr>
            </w:pPr>
            <w:r>
              <w:rPr>
                <w:sz w:val="20"/>
                <w:szCs w:val="20"/>
              </w:rPr>
              <w:sym w:font="Wingdings 2" w:char="F050"/>
            </w:r>
          </w:p>
        </w:tc>
        <w:tc>
          <w:tcPr>
            <w:tcW w:w="1115" w:type="dxa"/>
            <w:gridSpan w:val="2"/>
            <w:shd w:val="clear" w:color="auto" w:fill="FFFFFF"/>
            <w:vAlign w:val="center"/>
          </w:tcPr>
          <w:p w:rsidR="00FE25AB" w:rsidRDefault="00FE25AB">
            <w:pPr>
              <w:ind w:left="0"/>
              <w:jc w:val="center"/>
              <w:rPr>
                <w:sz w:val="20"/>
                <w:szCs w:val="20"/>
              </w:rPr>
            </w:pPr>
            <w:r>
              <w:rPr>
                <w:sz w:val="20"/>
                <w:szCs w:val="20"/>
              </w:rPr>
              <w:sym w:font="Wingdings 2" w:char="F04F"/>
            </w:r>
          </w:p>
        </w:tc>
      </w:tr>
    </w:tbl>
    <w:p w:rsidR="00FE25AB" w:rsidRDefault="00FE25AB">
      <w:pPr>
        <w:rPr>
          <w:rFonts w:ascii="GillSans-Bold" w:hAnsi="GillSans-Bold" w:cs="GillSans-Bold"/>
          <w:b/>
          <w:bCs/>
        </w:rPr>
      </w:pPr>
    </w:p>
    <w:p w:rsidR="00FE25AB" w:rsidRDefault="00FE25AB">
      <w:r>
        <w:t xml:space="preserve">This assessment demonstrates that option F scores most favourably and is therefore the preferred option that forms the basis of this business case. Appendix A contains a detailed breakdown of the scheme elements proposed within the preferred option. </w:t>
      </w:r>
    </w:p>
    <w:p w:rsidR="00FE25AB" w:rsidRDefault="00FE25AB">
      <w:pPr>
        <w:pStyle w:val="Subsection"/>
      </w:pPr>
      <w:bookmarkStart w:id="1" w:name="_Toc409708255"/>
      <w:bookmarkStart w:id="2" w:name="_Toc410373938"/>
    </w:p>
    <w:p w:rsidR="00FE25AB" w:rsidRDefault="00FE25AB">
      <w:pPr>
        <w:pStyle w:val="Subsection"/>
      </w:pPr>
      <w:r>
        <w:t>2.6</w:t>
      </w:r>
      <w:r>
        <w:tab/>
        <w:t>Risks</w:t>
      </w:r>
    </w:p>
    <w:p w:rsidR="00FE25AB" w:rsidRDefault="00FE25AB"/>
    <w:p w:rsidR="00FE25AB" w:rsidRDefault="00FE25AB">
      <w:r>
        <w:t xml:space="preserve">A summary of the key risks which may influence the cost and programme for the preferred scheme are shown in Table 2c below. </w:t>
      </w:r>
    </w:p>
    <w:p w:rsidR="00FE25AB" w:rsidRDefault="00FE25AB"/>
    <w:p w:rsidR="00FE25AB" w:rsidRDefault="00FE25AB">
      <w:pPr>
        <w:rPr>
          <w:b/>
          <w:bCs/>
        </w:rPr>
      </w:pPr>
      <w:r>
        <w:rPr>
          <w:b/>
          <w:bCs/>
        </w:rPr>
        <w:br w:type="page"/>
      </w:r>
      <w:r>
        <w:rPr>
          <w:b/>
          <w:bCs/>
        </w:rPr>
        <w:lastRenderedPageBreak/>
        <w:t>Table 2c – Risk Assessment</w:t>
      </w:r>
    </w:p>
    <w:p w:rsidR="00FE25AB" w:rsidRDefault="00FE25AB">
      <w:pPr>
        <w:pStyle w:val="Subsection"/>
      </w:pPr>
    </w:p>
    <w:tbl>
      <w:tblPr>
        <w:tblpPr w:leftFromText="180" w:rightFromText="180" w:vertAnchor="text" w:horzAnchor="margin" w:tblpXSpec="right" w:tblpY="12"/>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208"/>
        <w:gridCol w:w="992"/>
        <w:gridCol w:w="992"/>
        <w:gridCol w:w="992"/>
        <w:gridCol w:w="2705"/>
      </w:tblGrid>
      <w:tr w:rsidR="00FE25AB">
        <w:trPr>
          <w:cantSplit/>
          <w:trHeight w:val="260"/>
        </w:trPr>
        <w:tc>
          <w:tcPr>
            <w:tcW w:w="900" w:type="dxa"/>
            <w:vMerge w:val="restart"/>
            <w:shd w:val="clear" w:color="auto" w:fill="D9D9D9"/>
            <w:vAlign w:val="center"/>
          </w:tcPr>
          <w:p w:rsidR="00FE25AB" w:rsidRDefault="00FE25AB">
            <w:pPr>
              <w:pStyle w:val="Subsection"/>
              <w:rPr>
                <w:sz w:val="18"/>
                <w:szCs w:val="18"/>
              </w:rPr>
            </w:pPr>
            <w:r>
              <w:rPr>
                <w:sz w:val="18"/>
                <w:szCs w:val="18"/>
              </w:rPr>
              <w:t>Ref</w:t>
            </w:r>
          </w:p>
        </w:tc>
        <w:tc>
          <w:tcPr>
            <w:tcW w:w="2208" w:type="dxa"/>
            <w:vMerge w:val="restart"/>
            <w:shd w:val="clear" w:color="auto" w:fill="D9D9D9"/>
            <w:vAlign w:val="center"/>
          </w:tcPr>
          <w:p w:rsidR="00FE25AB" w:rsidRDefault="00FE25AB">
            <w:pPr>
              <w:pStyle w:val="Subsection"/>
              <w:rPr>
                <w:sz w:val="18"/>
                <w:szCs w:val="18"/>
              </w:rPr>
            </w:pPr>
            <w:r>
              <w:rPr>
                <w:sz w:val="18"/>
                <w:szCs w:val="18"/>
              </w:rPr>
              <w:t>Risk</w:t>
            </w:r>
          </w:p>
        </w:tc>
        <w:tc>
          <w:tcPr>
            <w:tcW w:w="1984" w:type="dxa"/>
            <w:gridSpan w:val="2"/>
            <w:shd w:val="clear" w:color="auto" w:fill="D9D9D9"/>
            <w:vAlign w:val="center"/>
          </w:tcPr>
          <w:p w:rsidR="00FE25AB" w:rsidRDefault="00FE25AB">
            <w:pPr>
              <w:pStyle w:val="Subsection"/>
              <w:jc w:val="center"/>
              <w:rPr>
                <w:sz w:val="18"/>
                <w:szCs w:val="18"/>
              </w:rPr>
            </w:pPr>
            <w:r>
              <w:rPr>
                <w:sz w:val="18"/>
                <w:szCs w:val="18"/>
              </w:rPr>
              <w:t>Impact</w:t>
            </w:r>
          </w:p>
        </w:tc>
        <w:tc>
          <w:tcPr>
            <w:tcW w:w="992" w:type="dxa"/>
            <w:vMerge w:val="restart"/>
            <w:shd w:val="clear" w:color="auto" w:fill="D9D9D9"/>
            <w:vAlign w:val="center"/>
          </w:tcPr>
          <w:p w:rsidR="00FE25AB" w:rsidRDefault="00FE25AB">
            <w:pPr>
              <w:pStyle w:val="Subsection"/>
              <w:jc w:val="center"/>
              <w:rPr>
                <w:sz w:val="18"/>
                <w:szCs w:val="18"/>
              </w:rPr>
            </w:pPr>
            <w:r>
              <w:rPr>
                <w:sz w:val="18"/>
                <w:szCs w:val="18"/>
              </w:rPr>
              <w:t>Like-</w:t>
            </w:r>
            <w:proofErr w:type="spellStart"/>
            <w:r>
              <w:rPr>
                <w:sz w:val="18"/>
                <w:szCs w:val="18"/>
              </w:rPr>
              <w:t>lihood</w:t>
            </w:r>
            <w:proofErr w:type="spellEnd"/>
          </w:p>
        </w:tc>
        <w:tc>
          <w:tcPr>
            <w:tcW w:w="2705" w:type="dxa"/>
            <w:vMerge w:val="restart"/>
            <w:shd w:val="clear" w:color="auto" w:fill="D9D9D9"/>
            <w:vAlign w:val="center"/>
          </w:tcPr>
          <w:p w:rsidR="00FE25AB" w:rsidRDefault="00FE25AB">
            <w:pPr>
              <w:pStyle w:val="Subsection"/>
              <w:rPr>
                <w:sz w:val="18"/>
                <w:szCs w:val="18"/>
              </w:rPr>
            </w:pPr>
            <w:r>
              <w:rPr>
                <w:sz w:val="18"/>
                <w:szCs w:val="18"/>
              </w:rPr>
              <w:t>Mitigation</w:t>
            </w:r>
          </w:p>
        </w:tc>
      </w:tr>
      <w:tr w:rsidR="00FE25AB">
        <w:trPr>
          <w:cantSplit/>
          <w:trHeight w:val="489"/>
        </w:trPr>
        <w:tc>
          <w:tcPr>
            <w:tcW w:w="900" w:type="dxa"/>
            <w:vMerge/>
            <w:shd w:val="clear" w:color="auto" w:fill="D9D9D9"/>
            <w:vAlign w:val="center"/>
          </w:tcPr>
          <w:p w:rsidR="00FE25AB" w:rsidRDefault="00FE25AB">
            <w:pPr>
              <w:pStyle w:val="Subsection"/>
              <w:rPr>
                <w:sz w:val="18"/>
                <w:szCs w:val="18"/>
              </w:rPr>
            </w:pPr>
          </w:p>
        </w:tc>
        <w:tc>
          <w:tcPr>
            <w:tcW w:w="2208" w:type="dxa"/>
            <w:vMerge/>
            <w:shd w:val="clear" w:color="auto" w:fill="D9D9D9"/>
            <w:vAlign w:val="center"/>
          </w:tcPr>
          <w:p w:rsidR="00FE25AB" w:rsidRDefault="00FE25AB">
            <w:pPr>
              <w:pStyle w:val="Subsection"/>
              <w:rPr>
                <w:sz w:val="18"/>
                <w:szCs w:val="18"/>
              </w:rPr>
            </w:pPr>
          </w:p>
        </w:tc>
        <w:tc>
          <w:tcPr>
            <w:tcW w:w="992" w:type="dxa"/>
            <w:shd w:val="clear" w:color="auto" w:fill="D9D9D9"/>
            <w:vAlign w:val="center"/>
          </w:tcPr>
          <w:p w:rsidR="00FE25AB" w:rsidRDefault="00FE25AB">
            <w:pPr>
              <w:pStyle w:val="Subsection"/>
              <w:jc w:val="center"/>
              <w:rPr>
                <w:sz w:val="18"/>
                <w:szCs w:val="18"/>
              </w:rPr>
            </w:pPr>
            <w:r>
              <w:rPr>
                <w:sz w:val="18"/>
                <w:szCs w:val="18"/>
              </w:rPr>
              <w:t>Cost</w:t>
            </w:r>
          </w:p>
        </w:tc>
        <w:tc>
          <w:tcPr>
            <w:tcW w:w="992" w:type="dxa"/>
            <w:shd w:val="clear" w:color="auto" w:fill="D9D9D9"/>
            <w:vAlign w:val="center"/>
          </w:tcPr>
          <w:p w:rsidR="00FE25AB" w:rsidRDefault="00FE25AB">
            <w:pPr>
              <w:pStyle w:val="Subsection"/>
              <w:jc w:val="center"/>
              <w:rPr>
                <w:sz w:val="18"/>
                <w:szCs w:val="18"/>
              </w:rPr>
            </w:pPr>
            <w:proofErr w:type="spellStart"/>
            <w:r>
              <w:rPr>
                <w:sz w:val="18"/>
                <w:szCs w:val="18"/>
              </w:rPr>
              <w:t>Prog</w:t>
            </w:r>
            <w:proofErr w:type="spellEnd"/>
            <w:r>
              <w:rPr>
                <w:sz w:val="18"/>
                <w:szCs w:val="18"/>
              </w:rPr>
              <w:t>.</w:t>
            </w:r>
          </w:p>
        </w:tc>
        <w:tc>
          <w:tcPr>
            <w:tcW w:w="992" w:type="dxa"/>
            <w:vMerge/>
            <w:shd w:val="clear" w:color="auto" w:fill="D9D9D9"/>
            <w:vAlign w:val="center"/>
          </w:tcPr>
          <w:p w:rsidR="00FE25AB" w:rsidRDefault="00FE25AB">
            <w:pPr>
              <w:pStyle w:val="Subsection"/>
              <w:jc w:val="center"/>
              <w:rPr>
                <w:sz w:val="18"/>
                <w:szCs w:val="18"/>
              </w:rPr>
            </w:pPr>
          </w:p>
        </w:tc>
        <w:tc>
          <w:tcPr>
            <w:tcW w:w="2705" w:type="dxa"/>
            <w:vMerge/>
            <w:shd w:val="clear" w:color="auto" w:fill="D9D9D9"/>
            <w:vAlign w:val="center"/>
          </w:tcPr>
          <w:p w:rsidR="00FE25AB" w:rsidRDefault="00FE25AB">
            <w:pPr>
              <w:pStyle w:val="Subsection"/>
              <w:jc w:val="center"/>
              <w:rPr>
                <w:sz w:val="18"/>
                <w:szCs w:val="18"/>
              </w:rPr>
            </w:pPr>
          </w:p>
        </w:tc>
      </w:tr>
      <w:tr w:rsidR="00FE25AB">
        <w:trPr>
          <w:trHeight w:val="487"/>
        </w:trPr>
        <w:tc>
          <w:tcPr>
            <w:tcW w:w="900" w:type="dxa"/>
            <w:vAlign w:val="center"/>
          </w:tcPr>
          <w:p w:rsidR="00FE25AB" w:rsidRDefault="00FE25AB">
            <w:pPr>
              <w:pStyle w:val="Subsection"/>
              <w:rPr>
                <w:b w:val="0"/>
                <w:bCs w:val="0"/>
                <w:sz w:val="18"/>
                <w:szCs w:val="18"/>
              </w:rPr>
            </w:pPr>
            <w:r>
              <w:rPr>
                <w:b w:val="0"/>
                <w:bCs w:val="0"/>
                <w:sz w:val="18"/>
                <w:szCs w:val="18"/>
              </w:rPr>
              <w:t>RR1</w:t>
            </w:r>
          </w:p>
        </w:tc>
        <w:tc>
          <w:tcPr>
            <w:tcW w:w="2208" w:type="dxa"/>
            <w:vAlign w:val="center"/>
          </w:tcPr>
          <w:p w:rsidR="00FE25AB" w:rsidRDefault="00FE25AB">
            <w:pPr>
              <w:ind w:left="0"/>
              <w:rPr>
                <w:sz w:val="18"/>
                <w:szCs w:val="18"/>
              </w:rPr>
            </w:pPr>
            <w:r>
              <w:rPr>
                <w:sz w:val="18"/>
                <w:szCs w:val="18"/>
              </w:rPr>
              <w:t>Need for Compulsory Purchase  Orders</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High</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Low</w:t>
            </w:r>
          </w:p>
        </w:tc>
        <w:tc>
          <w:tcPr>
            <w:tcW w:w="2705" w:type="dxa"/>
            <w:vAlign w:val="center"/>
          </w:tcPr>
          <w:p w:rsidR="00FE25AB" w:rsidRDefault="00FE25AB">
            <w:pPr>
              <w:pStyle w:val="Subsection"/>
              <w:rPr>
                <w:b w:val="0"/>
                <w:bCs w:val="0"/>
                <w:i/>
                <w:iCs/>
                <w:sz w:val="18"/>
                <w:szCs w:val="18"/>
              </w:rPr>
            </w:pPr>
            <w:r>
              <w:rPr>
                <w:b w:val="0"/>
                <w:bCs w:val="0"/>
                <w:i/>
                <w:iCs/>
                <w:sz w:val="18"/>
                <w:szCs w:val="18"/>
              </w:rPr>
              <w:t>No land acquisition envisaged at present time. Risk low as all works planned in public highway</w:t>
            </w:r>
          </w:p>
        </w:tc>
      </w:tr>
      <w:tr w:rsidR="00FE25AB">
        <w:trPr>
          <w:trHeight w:val="284"/>
        </w:trPr>
        <w:tc>
          <w:tcPr>
            <w:tcW w:w="900" w:type="dxa"/>
            <w:vAlign w:val="center"/>
          </w:tcPr>
          <w:p w:rsidR="00FE25AB" w:rsidRDefault="00FE25AB">
            <w:pPr>
              <w:pStyle w:val="Subsection"/>
              <w:rPr>
                <w:b w:val="0"/>
                <w:bCs w:val="0"/>
                <w:sz w:val="18"/>
                <w:szCs w:val="18"/>
              </w:rPr>
            </w:pPr>
            <w:r>
              <w:rPr>
                <w:b w:val="0"/>
                <w:bCs w:val="0"/>
                <w:sz w:val="18"/>
                <w:szCs w:val="18"/>
              </w:rPr>
              <w:t>RR2</w:t>
            </w:r>
          </w:p>
        </w:tc>
        <w:tc>
          <w:tcPr>
            <w:tcW w:w="2208" w:type="dxa"/>
            <w:vAlign w:val="center"/>
          </w:tcPr>
          <w:p w:rsidR="00FE25AB" w:rsidRDefault="00FE25AB">
            <w:pPr>
              <w:ind w:left="0"/>
              <w:rPr>
                <w:sz w:val="18"/>
                <w:szCs w:val="18"/>
              </w:rPr>
            </w:pPr>
            <w:r>
              <w:rPr>
                <w:sz w:val="18"/>
                <w:szCs w:val="18"/>
              </w:rPr>
              <w:t>Changes in preliminary, detailed and then preferred designs due to change in requirements of Project Board, e.g. changes in material selection, or design features.</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2705" w:type="dxa"/>
            <w:vAlign w:val="center"/>
          </w:tcPr>
          <w:p w:rsidR="00FE25AB" w:rsidRDefault="00FE25AB">
            <w:pPr>
              <w:pStyle w:val="Subsection"/>
              <w:rPr>
                <w:b w:val="0"/>
                <w:bCs w:val="0"/>
                <w:i/>
                <w:iCs/>
                <w:sz w:val="18"/>
                <w:szCs w:val="18"/>
              </w:rPr>
            </w:pPr>
            <w:r>
              <w:rPr>
                <w:b w:val="0"/>
                <w:bCs w:val="0"/>
                <w:i/>
                <w:iCs/>
                <w:sz w:val="18"/>
                <w:szCs w:val="18"/>
              </w:rPr>
              <w:t xml:space="preserve">Manage at Board level. Communicate implications of major changes on cost and programme. </w:t>
            </w:r>
          </w:p>
          <w:p w:rsidR="00FE25AB" w:rsidRDefault="00FE25AB">
            <w:pPr>
              <w:pStyle w:val="Subsection"/>
              <w:rPr>
                <w:b w:val="0"/>
                <w:bCs w:val="0"/>
                <w:i/>
                <w:iCs/>
                <w:sz w:val="18"/>
                <w:szCs w:val="18"/>
              </w:rPr>
            </w:pPr>
            <w:r>
              <w:rPr>
                <w:b w:val="0"/>
                <w:bCs w:val="0"/>
                <w:i/>
                <w:iCs/>
                <w:sz w:val="18"/>
                <w:szCs w:val="18"/>
              </w:rPr>
              <w:t>Implement change management processes from outset</w:t>
            </w:r>
          </w:p>
        </w:tc>
      </w:tr>
      <w:tr w:rsidR="00FE25AB">
        <w:trPr>
          <w:trHeight w:val="2004"/>
        </w:trPr>
        <w:tc>
          <w:tcPr>
            <w:tcW w:w="900" w:type="dxa"/>
            <w:vAlign w:val="center"/>
          </w:tcPr>
          <w:p w:rsidR="00FE25AB" w:rsidRDefault="00FE25AB">
            <w:pPr>
              <w:pStyle w:val="Subsection"/>
              <w:rPr>
                <w:b w:val="0"/>
                <w:bCs w:val="0"/>
                <w:sz w:val="18"/>
                <w:szCs w:val="18"/>
              </w:rPr>
            </w:pPr>
            <w:r>
              <w:rPr>
                <w:b w:val="0"/>
                <w:bCs w:val="0"/>
                <w:sz w:val="18"/>
                <w:szCs w:val="18"/>
              </w:rPr>
              <w:t>RR3</w:t>
            </w:r>
          </w:p>
        </w:tc>
        <w:tc>
          <w:tcPr>
            <w:tcW w:w="2208" w:type="dxa"/>
            <w:vAlign w:val="center"/>
          </w:tcPr>
          <w:p w:rsidR="00FE25AB" w:rsidRDefault="00FE25AB">
            <w:pPr>
              <w:ind w:left="0"/>
              <w:rPr>
                <w:sz w:val="18"/>
                <w:szCs w:val="18"/>
              </w:rPr>
            </w:pPr>
            <w:r>
              <w:rPr>
                <w:sz w:val="18"/>
                <w:szCs w:val="18"/>
              </w:rPr>
              <w:t>Some schemes will be funded in part through S106. Delays associated with developers bringing forward planning applications may result in delay to funding sources to particular schemes.</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Low</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2705" w:type="dxa"/>
            <w:vAlign w:val="center"/>
          </w:tcPr>
          <w:p w:rsidR="00FE25AB" w:rsidRDefault="00FE25AB">
            <w:pPr>
              <w:pStyle w:val="Subsection"/>
              <w:rPr>
                <w:b w:val="0"/>
                <w:bCs w:val="0"/>
                <w:i/>
                <w:iCs/>
                <w:sz w:val="18"/>
                <w:szCs w:val="18"/>
              </w:rPr>
            </w:pPr>
            <w:r>
              <w:rPr>
                <w:b w:val="0"/>
                <w:bCs w:val="0"/>
                <w:i/>
                <w:iCs/>
                <w:sz w:val="18"/>
                <w:szCs w:val="18"/>
              </w:rPr>
              <w:t>Majority of works planned do not rely on developer funding being made available. Projects that are linked to development sites could be delivered in advance, with benefits for road users realised whether development proceeds or not.</w:t>
            </w:r>
          </w:p>
        </w:tc>
      </w:tr>
      <w:tr w:rsidR="00FE25AB">
        <w:trPr>
          <w:trHeight w:val="1124"/>
        </w:trPr>
        <w:tc>
          <w:tcPr>
            <w:tcW w:w="900" w:type="dxa"/>
            <w:vAlign w:val="center"/>
          </w:tcPr>
          <w:p w:rsidR="00FE25AB" w:rsidRDefault="00FE25AB">
            <w:pPr>
              <w:pStyle w:val="Subsection"/>
              <w:rPr>
                <w:b w:val="0"/>
                <w:bCs w:val="0"/>
                <w:sz w:val="18"/>
                <w:szCs w:val="18"/>
              </w:rPr>
            </w:pPr>
            <w:r>
              <w:rPr>
                <w:b w:val="0"/>
                <w:bCs w:val="0"/>
                <w:sz w:val="18"/>
                <w:szCs w:val="18"/>
              </w:rPr>
              <w:t>RR4</w:t>
            </w:r>
          </w:p>
        </w:tc>
        <w:tc>
          <w:tcPr>
            <w:tcW w:w="2208" w:type="dxa"/>
            <w:vAlign w:val="center"/>
          </w:tcPr>
          <w:p w:rsidR="00FE25AB" w:rsidRDefault="00FE25AB">
            <w:pPr>
              <w:ind w:left="0"/>
              <w:rPr>
                <w:sz w:val="18"/>
                <w:szCs w:val="18"/>
              </w:rPr>
            </w:pPr>
            <w:r>
              <w:rPr>
                <w:sz w:val="18"/>
                <w:szCs w:val="18"/>
              </w:rPr>
              <w:t>Planning applications may result in delay to funding sources to particular schemes.</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Low</w:t>
            </w:r>
          </w:p>
        </w:tc>
        <w:tc>
          <w:tcPr>
            <w:tcW w:w="2705" w:type="dxa"/>
            <w:vAlign w:val="center"/>
          </w:tcPr>
          <w:p w:rsidR="00FE25AB" w:rsidRDefault="00FE25AB">
            <w:pPr>
              <w:pStyle w:val="Subsection"/>
              <w:rPr>
                <w:b w:val="0"/>
                <w:bCs w:val="0"/>
                <w:i/>
                <w:iCs/>
                <w:sz w:val="18"/>
                <w:szCs w:val="18"/>
              </w:rPr>
            </w:pPr>
            <w:r>
              <w:rPr>
                <w:b w:val="0"/>
                <w:bCs w:val="0"/>
                <w:i/>
                <w:iCs/>
                <w:sz w:val="18"/>
                <w:szCs w:val="18"/>
              </w:rPr>
              <w:t>No planning applications should be required for majority of high-benefit highway works</w:t>
            </w:r>
          </w:p>
        </w:tc>
      </w:tr>
      <w:tr w:rsidR="00FE25AB">
        <w:trPr>
          <w:trHeight w:val="1704"/>
        </w:trPr>
        <w:tc>
          <w:tcPr>
            <w:tcW w:w="900" w:type="dxa"/>
            <w:vAlign w:val="center"/>
          </w:tcPr>
          <w:p w:rsidR="00FE25AB" w:rsidRDefault="00FE25AB">
            <w:pPr>
              <w:pStyle w:val="Subsection"/>
              <w:rPr>
                <w:b w:val="0"/>
                <w:bCs w:val="0"/>
                <w:sz w:val="18"/>
                <w:szCs w:val="18"/>
              </w:rPr>
            </w:pPr>
            <w:r>
              <w:rPr>
                <w:b w:val="0"/>
                <w:bCs w:val="0"/>
                <w:sz w:val="18"/>
                <w:szCs w:val="18"/>
              </w:rPr>
              <w:t>RR5</w:t>
            </w:r>
          </w:p>
        </w:tc>
        <w:tc>
          <w:tcPr>
            <w:tcW w:w="2208" w:type="dxa"/>
            <w:vAlign w:val="center"/>
          </w:tcPr>
          <w:p w:rsidR="00FE25AB" w:rsidRDefault="00FE25AB">
            <w:pPr>
              <w:ind w:left="0"/>
              <w:rPr>
                <w:sz w:val="18"/>
                <w:szCs w:val="18"/>
              </w:rPr>
            </w:pPr>
            <w:r>
              <w:rPr>
                <w:sz w:val="18"/>
                <w:szCs w:val="18"/>
              </w:rPr>
              <w:t>Required utility diversion works have long lead-in times and delay construction.</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High</w:t>
            </w:r>
          </w:p>
        </w:tc>
        <w:tc>
          <w:tcPr>
            <w:tcW w:w="992" w:type="dxa"/>
            <w:vAlign w:val="center"/>
          </w:tcPr>
          <w:p w:rsidR="00FE25AB" w:rsidRDefault="00FE25AB">
            <w:pPr>
              <w:pStyle w:val="Subsection"/>
              <w:jc w:val="center"/>
              <w:rPr>
                <w:b w:val="0"/>
                <w:bCs w:val="0"/>
                <w:i/>
                <w:iCs/>
                <w:sz w:val="18"/>
                <w:szCs w:val="18"/>
              </w:rPr>
            </w:pPr>
            <w:r>
              <w:rPr>
                <w:b w:val="0"/>
                <w:bCs w:val="0"/>
                <w:i/>
                <w:iCs/>
                <w:sz w:val="18"/>
                <w:szCs w:val="18"/>
              </w:rPr>
              <w:t>Moderate</w:t>
            </w:r>
          </w:p>
        </w:tc>
        <w:tc>
          <w:tcPr>
            <w:tcW w:w="2705" w:type="dxa"/>
            <w:vAlign w:val="center"/>
          </w:tcPr>
          <w:p w:rsidR="00FE25AB" w:rsidRDefault="00FE25AB">
            <w:pPr>
              <w:pStyle w:val="Subsection"/>
              <w:rPr>
                <w:b w:val="0"/>
                <w:bCs w:val="0"/>
                <w:i/>
                <w:iCs/>
                <w:sz w:val="18"/>
                <w:szCs w:val="18"/>
              </w:rPr>
            </w:pPr>
            <w:r>
              <w:rPr>
                <w:b w:val="0"/>
                <w:bCs w:val="0"/>
                <w:i/>
                <w:iCs/>
                <w:sz w:val="18"/>
                <w:szCs w:val="18"/>
              </w:rPr>
              <w:t xml:space="preserve">Early engagement with contractors and utility companies plus realistic detailed design lead-in times will ensure realistic time frames set and adequate advance notice given. </w:t>
            </w:r>
          </w:p>
        </w:tc>
      </w:tr>
    </w:tbl>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Pr>
        <w:pStyle w:val="Subsection"/>
      </w:pPr>
    </w:p>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p w:rsidR="00FE25AB" w:rsidRDefault="00FE25AB">
      <w:r>
        <w:t xml:space="preserve">For the </w:t>
      </w:r>
      <w:proofErr w:type="spellStart"/>
      <w:r>
        <w:t>Strood</w:t>
      </w:r>
      <w:proofErr w:type="spellEnd"/>
      <w:r>
        <w:t xml:space="preserve"> Station upgrade element of the scheme, the recommended options do not require any land acquisition and discussions with Medway Council planning department indicates that the proposed works have Permitted Development Rights. No other known constraints have been identified at this stage (technical, environmental, archaeological). </w:t>
      </w:r>
    </w:p>
    <w:p w:rsidR="00FE25AB" w:rsidRDefault="00FE25AB"/>
    <w:p w:rsidR="00FE25AB" w:rsidRDefault="00FE25AB">
      <w:r>
        <w:t xml:space="preserve">There are also no high-risk elements to delivery of the core scheme that have been identified as there is no need for compulsory purchase of land or major planning applications. </w:t>
      </w:r>
    </w:p>
    <w:p w:rsidR="00FE25AB" w:rsidRDefault="00FE25AB">
      <w:pPr>
        <w:ind w:left="0"/>
      </w:pPr>
    </w:p>
    <w:bookmarkEnd w:id="1"/>
    <w:bookmarkEnd w:id="2"/>
    <w:p w:rsidR="00FE25AB" w:rsidRDefault="00FE25AB">
      <w:pPr>
        <w:ind w:left="0"/>
      </w:pPr>
    </w:p>
    <w:p w:rsidR="00FE25AB" w:rsidRDefault="00FE25AB">
      <w:pPr>
        <w:rPr>
          <w:sz w:val="16"/>
          <w:szCs w:val="16"/>
        </w:rPr>
      </w:pPr>
      <w:r>
        <w:rPr>
          <w:sz w:val="16"/>
          <w:szCs w:val="16"/>
        </w:rPr>
        <w:br w:type="page"/>
      </w:r>
    </w:p>
    <w:p w:rsidR="00FE25AB" w:rsidRDefault="00FE25AB">
      <w:pPr>
        <w:pStyle w:val="SectionHeading"/>
      </w:pPr>
      <w:r>
        <w:t>3.0</w:t>
      </w:r>
      <w:r>
        <w:tab/>
        <w:t>The Economic Case</w:t>
      </w:r>
    </w:p>
    <w:p w:rsidR="00FE25AB" w:rsidRDefault="00FE25AB">
      <w:pPr>
        <w:pStyle w:val="SectionHeading"/>
      </w:pPr>
    </w:p>
    <w:p w:rsidR="00FE25AB" w:rsidRDefault="00FE25AB">
      <w:pPr>
        <w:pStyle w:val="Subsection"/>
      </w:pPr>
      <w:r>
        <w:t>3.1</w:t>
      </w:r>
      <w:r>
        <w:tab/>
        <w:t>Overview of Appraisal Process</w:t>
      </w:r>
    </w:p>
    <w:p w:rsidR="00FE25AB" w:rsidRDefault="00FE25AB"/>
    <w:p w:rsidR="00FE25AB" w:rsidRDefault="00FE25AB">
      <w:r>
        <w:t xml:space="preserve">The proposed measures as set out in Appendix A are designed to enhance the townscape of </w:t>
      </w:r>
      <w:proofErr w:type="spellStart"/>
      <w:r>
        <w:t>Strood</w:t>
      </w:r>
      <w:proofErr w:type="spellEnd"/>
      <w:r>
        <w:t xml:space="preserve"> and encourage the uptake of housing and employment development land. They are broadly focussed around transport and highway infrastructure initiatives and are designed to impact on:</w:t>
      </w:r>
    </w:p>
    <w:p w:rsidR="00FE25AB" w:rsidRDefault="00FE25AB">
      <w:pPr>
        <w:numPr>
          <w:ilvl w:val="0"/>
          <w:numId w:val="10"/>
        </w:numPr>
        <w:spacing w:line="264" w:lineRule="auto"/>
        <w:jc w:val="both"/>
      </w:pPr>
      <w:r>
        <w:t>Traffic delays in the town centre;</w:t>
      </w:r>
    </w:p>
    <w:p w:rsidR="00FE25AB" w:rsidRDefault="00FE25AB">
      <w:pPr>
        <w:numPr>
          <w:ilvl w:val="0"/>
          <w:numId w:val="10"/>
        </w:numPr>
        <w:spacing w:line="264" w:lineRule="auto"/>
        <w:jc w:val="both"/>
      </w:pPr>
      <w:r>
        <w:t>Amenity of walking;</w:t>
      </w:r>
    </w:p>
    <w:p w:rsidR="00FE25AB" w:rsidRDefault="00FE25AB">
      <w:pPr>
        <w:numPr>
          <w:ilvl w:val="0"/>
          <w:numId w:val="10"/>
        </w:numPr>
        <w:spacing w:line="264" w:lineRule="auto"/>
        <w:jc w:val="both"/>
      </w:pPr>
      <w:r>
        <w:t xml:space="preserve">Amenity of cycling; </w:t>
      </w:r>
    </w:p>
    <w:p w:rsidR="00FE25AB" w:rsidRDefault="00FE25AB">
      <w:pPr>
        <w:numPr>
          <w:ilvl w:val="0"/>
          <w:numId w:val="10"/>
        </w:numPr>
        <w:spacing w:line="264" w:lineRule="auto"/>
        <w:jc w:val="both"/>
      </w:pPr>
      <w:r>
        <w:t>Road safety; and</w:t>
      </w:r>
    </w:p>
    <w:p w:rsidR="00FE25AB" w:rsidRDefault="00FE25AB">
      <w:pPr>
        <w:numPr>
          <w:ilvl w:val="0"/>
          <w:numId w:val="10"/>
        </w:numPr>
        <w:spacing w:line="264" w:lineRule="auto"/>
        <w:jc w:val="both"/>
      </w:pPr>
      <w:r>
        <w:t>Bus and train user amenity.</w:t>
      </w:r>
    </w:p>
    <w:p w:rsidR="00FE25AB" w:rsidRDefault="00FE25AB"/>
    <w:p w:rsidR="00FE25AB" w:rsidRDefault="00FE25AB">
      <w:r>
        <w:t>In the absence of a detailed traffic model, alternative data sources have been used for analysis, utilising conservative estimates of potential benefits to ensure a robust assessment.</w:t>
      </w:r>
    </w:p>
    <w:p w:rsidR="00FE25AB" w:rsidRDefault="00FE25AB"/>
    <w:p w:rsidR="00FE25AB" w:rsidRDefault="00FE25AB">
      <w:r>
        <w:t xml:space="preserve">All analysis has been undertaken using </w:t>
      </w:r>
      <w:proofErr w:type="spellStart"/>
      <w:r>
        <w:t>WebTAG</w:t>
      </w:r>
      <w:proofErr w:type="spellEnd"/>
      <w:r>
        <w:t xml:space="preserve"> principles in terms of economic parameters and assessment methods.</w:t>
      </w:r>
    </w:p>
    <w:p w:rsidR="00FE25AB" w:rsidRDefault="00FE25AB"/>
    <w:p w:rsidR="00FE25AB" w:rsidRDefault="00FE25AB">
      <w:r>
        <w:t>Benefits have been estimated by reviewing interventions within each of the scheme categories described in Appendix A and these have then been divided into groups:</w:t>
      </w:r>
    </w:p>
    <w:p w:rsidR="00FE25AB" w:rsidRDefault="00FE25AB">
      <w:pPr>
        <w:pStyle w:val="ListParagraph"/>
        <w:numPr>
          <w:ilvl w:val="0"/>
          <w:numId w:val="16"/>
        </w:numPr>
        <w:rPr>
          <w:rFonts w:ascii="Arial" w:hAnsi="Arial" w:cs="Arial"/>
        </w:rPr>
      </w:pPr>
      <w:r>
        <w:rPr>
          <w:rFonts w:ascii="Arial" w:hAnsi="Arial" w:cs="Arial"/>
        </w:rPr>
        <w:t>Interventions that will deliver highway journey time saving benefits;</w:t>
      </w:r>
    </w:p>
    <w:p w:rsidR="00FE25AB" w:rsidRDefault="00FE25AB">
      <w:pPr>
        <w:pStyle w:val="ListParagraph"/>
        <w:numPr>
          <w:ilvl w:val="0"/>
          <w:numId w:val="16"/>
        </w:numPr>
        <w:rPr>
          <w:rFonts w:ascii="Arial" w:hAnsi="Arial" w:cs="Arial"/>
        </w:rPr>
      </w:pPr>
      <w:r>
        <w:rPr>
          <w:rFonts w:ascii="Arial" w:hAnsi="Arial" w:cs="Arial"/>
        </w:rPr>
        <w:t>Those that will deliver pedestrian and cycling health benefits (grouped together in the benefits table); and</w:t>
      </w:r>
    </w:p>
    <w:p w:rsidR="00FE25AB" w:rsidRDefault="00FE25AB">
      <w:pPr>
        <w:pStyle w:val="ListParagraph"/>
        <w:numPr>
          <w:ilvl w:val="0"/>
          <w:numId w:val="16"/>
        </w:numPr>
        <w:rPr>
          <w:rFonts w:ascii="Arial" w:hAnsi="Arial" w:cs="Arial"/>
        </w:rPr>
      </w:pPr>
      <w:r>
        <w:rPr>
          <w:rFonts w:ascii="Arial" w:hAnsi="Arial" w:cs="Arial"/>
        </w:rPr>
        <w:t>Interventions that would have a positive impact on numbers of collisions.</w:t>
      </w:r>
    </w:p>
    <w:p w:rsidR="00FE25AB" w:rsidRDefault="00FE25AB">
      <w:r>
        <w:t>Proposals that could be expected to contribute towards one or more of these benefit streams have been combined together, as indicated in the analysis model.</w:t>
      </w:r>
    </w:p>
    <w:p w:rsidR="00FE25AB" w:rsidRDefault="00FE25AB"/>
    <w:p w:rsidR="00FE25AB" w:rsidRDefault="00FE25AB">
      <w:r>
        <w:t xml:space="preserve">In the case of bus and train user amenity, a conservative assumption has been made in terms of the benefit calculation. There are clear benefits in the scheme elements related to bus and train stop and station improvements. However, without sufficient data being available, a quantitative benefit calculation has not been calculated for these items for inclusion to the net scheme benefits. A qualitative description is included. </w:t>
      </w:r>
    </w:p>
    <w:p w:rsidR="00FE25AB" w:rsidRDefault="00FE25AB"/>
    <w:p w:rsidR="00FE25AB" w:rsidRDefault="00FE25AB">
      <w:r>
        <w:t xml:space="preserve">All benefit calculation analysis has been undertaken using </w:t>
      </w:r>
      <w:proofErr w:type="spellStart"/>
      <w:r>
        <w:t>WebTAG</w:t>
      </w:r>
      <w:proofErr w:type="spellEnd"/>
      <w:r>
        <w:t xml:space="preserve"> principles in terms of economic parameters and assessment methods.</w:t>
      </w:r>
    </w:p>
    <w:p w:rsidR="00FE25AB" w:rsidRDefault="00FE25AB"/>
    <w:p w:rsidR="00FE25AB" w:rsidRDefault="00FE25AB">
      <w:pPr>
        <w:pStyle w:val="Subsection"/>
      </w:pPr>
      <w:r>
        <w:t>3.2</w:t>
      </w:r>
      <w:r>
        <w:tab/>
        <w:t>Assumptions</w:t>
      </w:r>
    </w:p>
    <w:p w:rsidR="00FE25AB" w:rsidRDefault="00FE25AB">
      <w:pPr>
        <w:pStyle w:val="Subsection"/>
      </w:pPr>
    </w:p>
    <w:p w:rsidR="00FE25AB" w:rsidRDefault="00FE25AB">
      <w:pPr>
        <w:pStyle w:val="ListParagraph"/>
        <w:spacing w:after="0" w:line="240" w:lineRule="auto"/>
        <w:rPr>
          <w:rFonts w:ascii="Arial" w:hAnsi="Arial" w:cs="Arial"/>
        </w:rPr>
      </w:pPr>
      <w:r>
        <w:rPr>
          <w:rFonts w:ascii="Arial" w:hAnsi="Arial" w:cs="Arial"/>
        </w:rPr>
        <w:t xml:space="preserve">For assessment of benefits, default proportions for trip purposes from </w:t>
      </w:r>
      <w:proofErr w:type="spellStart"/>
      <w:r>
        <w:rPr>
          <w:rFonts w:ascii="Arial" w:hAnsi="Arial" w:cs="Arial"/>
        </w:rPr>
        <w:t>WebTAG</w:t>
      </w:r>
      <w:proofErr w:type="spellEnd"/>
      <w:r>
        <w:rPr>
          <w:rFonts w:ascii="Arial" w:hAnsi="Arial" w:cs="Arial"/>
        </w:rPr>
        <w:t xml:space="preserve"> Table A1.3.4 have been assumed. Monetisation of benefits have been conducted on a daily basis (not by time period) and annualised for each year across their lifespan.</w:t>
      </w:r>
    </w:p>
    <w:p w:rsidR="00FE25AB" w:rsidRDefault="00FE25AB"/>
    <w:p w:rsidR="00FE25AB" w:rsidRDefault="00FE25AB">
      <w:pPr>
        <w:rPr>
          <w:color w:val="E36C0A"/>
        </w:rPr>
      </w:pPr>
      <w:r>
        <w:t>All calculations have been carried out assuming a common opening year of 2018 for all elements of the scheme. For traffic benefits a forecasting year of 2033 has been assumed. Beyond this point no further growth in demand is modelled. Appraisal for highway schemes has been conducted for the 60 year period 2018-2077 and for walking and cycling for the 30 year period 2018-2047.</w:t>
      </w:r>
    </w:p>
    <w:p w:rsidR="00FE25AB" w:rsidRDefault="00FE25AB">
      <w:pPr>
        <w:rPr>
          <w:color w:val="E36C0A"/>
        </w:rPr>
      </w:pPr>
    </w:p>
    <w:p w:rsidR="00FE25AB" w:rsidRDefault="00FE25AB">
      <w:pPr>
        <w:pStyle w:val="ListParagraph"/>
        <w:spacing w:after="0" w:line="240" w:lineRule="auto"/>
        <w:rPr>
          <w:rFonts w:ascii="Arial" w:hAnsi="Arial" w:cs="Arial"/>
        </w:rPr>
      </w:pPr>
      <w:r>
        <w:rPr>
          <w:rFonts w:ascii="Arial" w:hAnsi="Arial" w:cs="Arial"/>
        </w:rPr>
        <w:t xml:space="preserve">All calculations have been carried out using a spreadsheet model based on </w:t>
      </w:r>
      <w:proofErr w:type="spellStart"/>
      <w:r>
        <w:rPr>
          <w:rFonts w:ascii="Arial" w:hAnsi="Arial" w:cs="Arial"/>
        </w:rPr>
        <w:t>WebTAG</w:t>
      </w:r>
      <w:proofErr w:type="spellEnd"/>
      <w:r>
        <w:rPr>
          <w:rFonts w:ascii="Arial" w:hAnsi="Arial" w:cs="Arial"/>
        </w:rPr>
        <w:t xml:space="preserve"> processes and values. The model assesses benefits for each year of the evaluation period and discounts results to 2010 values and prices.</w:t>
      </w:r>
    </w:p>
    <w:p w:rsidR="00FE25AB" w:rsidRDefault="00FE25AB">
      <w:pPr>
        <w:pStyle w:val="Subsection"/>
      </w:pPr>
    </w:p>
    <w:p w:rsidR="00FE25AB" w:rsidRDefault="00FE25AB">
      <w:pPr>
        <w:pStyle w:val="Subsection"/>
        <w:rPr>
          <w:i/>
          <w:iCs/>
        </w:rPr>
      </w:pPr>
      <w:r>
        <w:rPr>
          <w:i/>
          <w:iCs/>
        </w:rPr>
        <w:t>3.2.1</w:t>
      </w:r>
      <w:r>
        <w:rPr>
          <w:i/>
          <w:iCs/>
        </w:rPr>
        <w:tab/>
        <w:t>Existing Delays</w:t>
      </w:r>
    </w:p>
    <w:p w:rsidR="00FE25AB" w:rsidRDefault="00FE25AB"/>
    <w:p w:rsidR="00FE25AB" w:rsidRDefault="00FE25AB">
      <w:r>
        <w:t xml:space="preserve">A key element of the proposals is updating and improving the traffic control system within </w:t>
      </w:r>
      <w:proofErr w:type="spellStart"/>
      <w:r>
        <w:t>Strood</w:t>
      </w:r>
      <w:proofErr w:type="spellEnd"/>
      <w:r>
        <w:t xml:space="preserve"> and redesigning junctions to improve traffic flow.</w:t>
      </w:r>
    </w:p>
    <w:p w:rsidR="00FE25AB" w:rsidRDefault="00FE25AB"/>
    <w:p w:rsidR="00FE25AB" w:rsidRDefault="00FE25AB">
      <w:pPr>
        <w:rPr>
          <w:color w:val="E36C0A"/>
        </w:rPr>
      </w:pPr>
      <w:r>
        <w:t>Consumer and business benefits, derived from delay savings, traditionally form a large element of traffic benefits, and with a transport model can be assessed using TUBA. Without a traffic model for this scheme, the TUBA analysis has been replaced with a spreadsheet carrying out the same processes.</w:t>
      </w:r>
    </w:p>
    <w:p w:rsidR="00FE25AB" w:rsidRDefault="00FE25AB"/>
    <w:p w:rsidR="00FE25AB" w:rsidRDefault="00FE25AB">
      <w:pPr>
        <w:pStyle w:val="ListParagraph"/>
        <w:spacing w:after="0" w:line="240" w:lineRule="auto"/>
        <w:rPr>
          <w:rFonts w:ascii="Arial" w:hAnsi="Arial" w:cs="Arial"/>
        </w:rPr>
      </w:pPr>
      <w:r>
        <w:rPr>
          <w:rFonts w:ascii="Arial" w:hAnsi="Arial" w:cs="Arial"/>
        </w:rPr>
        <w:t xml:space="preserve">Data on current travel times and relative flows on links within the network have been obtained from </w:t>
      </w:r>
      <w:proofErr w:type="spellStart"/>
      <w:r>
        <w:rPr>
          <w:rFonts w:ascii="Arial" w:hAnsi="Arial" w:cs="Arial"/>
        </w:rPr>
        <w:t>Trafficmaster</w:t>
      </w:r>
      <w:proofErr w:type="spellEnd"/>
      <w:r>
        <w:rPr>
          <w:rFonts w:ascii="Arial" w:hAnsi="Arial" w:cs="Arial"/>
        </w:rPr>
        <w:t xml:space="preserve"> via the </w:t>
      </w:r>
      <w:proofErr w:type="spellStart"/>
      <w:r>
        <w:rPr>
          <w:rFonts w:ascii="Arial" w:hAnsi="Arial" w:cs="Arial"/>
        </w:rPr>
        <w:t>DfT.</w:t>
      </w:r>
      <w:proofErr w:type="spellEnd"/>
      <w:r>
        <w:rPr>
          <w:rFonts w:ascii="Arial" w:hAnsi="Arial" w:cs="Arial"/>
        </w:rPr>
        <w:t xml:space="preserve"> The </w:t>
      </w:r>
      <w:proofErr w:type="spellStart"/>
      <w:r>
        <w:rPr>
          <w:rFonts w:ascii="Arial" w:hAnsi="Arial" w:cs="Arial"/>
        </w:rPr>
        <w:t>Trafficmaster</w:t>
      </w:r>
      <w:proofErr w:type="spellEnd"/>
      <w:r>
        <w:rPr>
          <w:rFonts w:ascii="Arial" w:hAnsi="Arial" w:cs="Arial"/>
        </w:rPr>
        <w:t xml:space="preserve"> dataset uses in-vehicle GIS information for a large number of vehicles, to record travel times along road links. This enables estimates of peak period delay to be calculated for the network by comparison of peak and off-peak travel times. </w:t>
      </w:r>
    </w:p>
    <w:p w:rsidR="00FE25AB" w:rsidRDefault="00FE25AB"/>
    <w:p w:rsidR="00FE25AB" w:rsidRDefault="00FE25AB">
      <w:r>
        <w:t>The dataset is provided on a 15-minute basis and a weighted average has been used to calculate average travel times on links on an hourly basis. The dataset took average values from weekdays during a neutral month, March 2014.</w:t>
      </w:r>
    </w:p>
    <w:p w:rsidR="00FE25AB" w:rsidRDefault="00FE25AB"/>
    <w:p w:rsidR="00FE25AB" w:rsidRDefault="00FE25AB">
      <w:r>
        <w:t xml:space="preserve">As the </w:t>
      </w:r>
      <w:proofErr w:type="spellStart"/>
      <w:r>
        <w:t>Trafficmaster</w:t>
      </w:r>
      <w:proofErr w:type="spellEnd"/>
      <w:r>
        <w:t xml:space="preserve"> dataset is only a sample of total vehicles, ATC data was used to factor the sample up to the total vehicle numbers across an average day. The ATC data was obtained from the </w:t>
      </w:r>
      <w:proofErr w:type="spellStart"/>
      <w:r>
        <w:t>DfT</w:t>
      </w:r>
      <w:proofErr w:type="spellEnd"/>
      <w:r>
        <w:t xml:space="preserve"> website for March 2014 and cross checked against additional count data collected by Medway Council. The factoring process was carried out by determining the average </w:t>
      </w:r>
      <w:proofErr w:type="spellStart"/>
      <w:r>
        <w:t>Trafficmaster</w:t>
      </w:r>
      <w:proofErr w:type="spellEnd"/>
      <w:r>
        <w:t xml:space="preserve"> to ATC daily total vehicle count ratios and applying the average ratio across the network. Prior to applying the factor globally, checks were conducted to confirm that there was no variance bias for link type - no such bias was clearly apparent. </w:t>
      </w:r>
    </w:p>
    <w:p w:rsidR="00FE25AB" w:rsidRDefault="00FE25AB"/>
    <w:p w:rsidR="00FE25AB" w:rsidRDefault="00FE25AB">
      <w:r>
        <w:t xml:space="preserve">A comparison was undertaken on a link by link basis, using the link definitions defined within the </w:t>
      </w:r>
      <w:proofErr w:type="spellStart"/>
      <w:r>
        <w:t>Trafficmaster</w:t>
      </w:r>
      <w:proofErr w:type="spellEnd"/>
      <w:r>
        <w:t xml:space="preserve"> dataset. The average peak hour delay per vehicle was estimated as the difference between the peak period travel time and the average off peak travel time.</w:t>
      </w:r>
    </w:p>
    <w:p w:rsidR="00FE25AB" w:rsidRDefault="00FE25AB"/>
    <w:p w:rsidR="00FE25AB" w:rsidRDefault="00FE25AB">
      <w:r>
        <w:t xml:space="preserve">This was calculated on an hourly basis during the daytime period, between 7a.m. and 8p.m. after analysis of the travel times across the day to observe when congestion began and ended for most links. </w:t>
      </w:r>
    </w:p>
    <w:p w:rsidR="00FE25AB" w:rsidRDefault="00FE25AB"/>
    <w:p w:rsidR="00FE25AB" w:rsidRDefault="00FE25AB">
      <w:r>
        <w:t xml:space="preserve">Total daily delay was then calculated as a sum of the average delay multiplied by the synthesised traffic count on a link-by-link basis. </w:t>
      </w:r>
    </w:p>
    <w:p w:rsidR="00FE25AB" w:rsidRDefault="00FE25AB"/>
    <w:p w:rsidR="00FE25AB" w:rsidRDefault="00FE25AB">
      <w:r>
        <w:t>An assumption in this process is that there is no delay outside the weekday periods considered. This would suggest that the values used in the calculation are a conservative estimate of total network delay.</w:t>
      </w:r>
    </w:p>
    <w:p w:rsidR="00FE25AB" w:rsidRDefault="00FE25AB"/>
    <w:p w:rsidR="00FE25AB" w:rsidRDefault="00FE25AB">
      <w:r>
        <w:t xml:space="preserve">An image of the </w:t>
      </w:r>
      <w:proofErr w:type="spellStart"/>
      <w:r>
        <w:t>Trafficmaster</w:t>
      </w:r>
      <w:proofErr w:type="spellEnd"/>
      <w:r>
        <w:t xml:space="preserve"> analysed links and location of ATC data is shown below, included is a key which shows where the most congested areas are in the evening peak hour as an example;</w:t>
      </w:r>
    </w:p>
    <w:p w:rsidR="00FE25AB" w:rsidRDefault="00FE25AB"/>
    <w:p w:rsidR="00FE25AB" w:rsidRDefault="00FE25AB">
      <w:pPr>
        <w:rPr>
          <w:b/>
          <w:bCs/>
        </w:rPr>
      </w:pPr>
    </w:p>
    <w:p w:rsidR="00FE25AB" w:rsidRDefault="00FE25AB">
      <w:pPr>
        <w:rPr>
          <w:b/>
          <w:bCs/>
        </w:rPr>
      </w:pPr>
    </w:p>
    <w:p w:rsidR="00FE25AB" w:rsidRDefault="00FE25AB">
      <w:pPr>
        <w:rPr>
          <w:b/>
          <w:bCs/>
        </w:rPr>
      </w:pPr>
      <w:r>
        <w:rPr>
          <w:b/>
          <w:bCs/>
        </w:rPr>
        <w:t>Congestion Sites</w:t>
      </w:r>
    </w:p>
    <w:p w:rsidR="00FE25AB" w:rsidRDefault="004D0481">
      <w:pPr>
        <w:jc w:val="center"/>
      </w:pPr>
      <w:r>
        <w:rPr>
          <w:noProof/>
          <w:lang w:eastAsia="en-GB"/>
        </w:rPr>
        <w:pict>
          <v:shape id="Picture 0" o:spid="_x0000_i1026" type="#_x0000_t75" alt="Delay_plus_count_locations.png" style="width:430.5pt;height:327.75pt;visibility:visible">
            <v:imagedata r:id="rId14" o:title=""/>
          </v:shape>
        </w:pict>
      </w:r>
    </w:p>
    <w:p w:rsidR="00FE25AB" w:rsidRDefault="00FE25AB">
      <w:pPr>
        <w:rPr>
          <w:i/>
          <w:iCs/>
        </w:rPr>
      </w:pPr>
    </w:p>
    <w:p w:rsidR="00FE25AB" w:rsidRDefault="00FE25AB">
      <w:pPr>
        <w:pStyle w:val="Subsection"/>
        <w:rPr>
          <w:i/>
          <w:iCs/>
        </w:rPr>
      </w:pPr>
      <w:r>
        <w:rPr>
          <w:i/>
          <w:iCs/>
        </w:rPr>
        <w:t>3.2.2</w:t>
      </w:r>
      <w:r>
        <w:rPr>
          <w:i/>
          <w:iCs/>
        </w:rPr>
        <w:tab/>
        <w:t>Estimate of Delay Saving</w:t>
      </w:r>
    </w:p>
    <w:p w:rsidR="00FE25AB" w:rsidRDefault="00FE25AB">
      <w:pPr>
        <w:pStyle w:val="Subsection"/>
      </w:pPr>
    </w:p>
    <w:p w:rsidR="00FE25AB" w:rsidRDefault="00FE25AB">
      <w:r>
        <w:t>The traffic management measures included within the scheme bid include:</w:t>
      </w:r>
    </w:p>
    <w:p w:rsidR="00FE25AB" w:rsidRDefault="00FE25AB">
      <w:pPr>
        <w:pStyle w:val="ListParagraph"/>
        <w:numPr>
          <w:ilvl w:val="0"/>
          <w:numId w:val="12"/>
        </w:numPr>
        <w:rPr>
          <w:rFonts w:ascii="Arial" w:hAnsi="Arial" w:cs="Arial"/>
        </w:rPr>
      </w:pPr>
      <w:r>
        <w:rPr>
          <w:rFonts w:ascii="Arial" w:hAnsi="Arial" w:cs="Arial"/>
        </w:rPr>
        <w:t>Improvements to UTMS;</w:t>
      </w:r>
    </w:p>
    <w:p w:rsidR="00FE25AB" w:rsidRDefault="00FE25AB">
      <w:pPr>
        <w:pStyle w:val="ListParagraph"/>
        <w:numPr>
          <w:ilvl w:val="0"/>
          <w:numId w:val="12"/>
        </w:numPr>
        <w:rPr>
          <w:rFonts w:ascii="Arial" w:hAnsi="Arial" w:cs="Arial"/>
        </w:rPr>
      </w:pPr>
      <w:r>
        <w:rPr>
          <w:rFonts w:ascii="Arial" w:hAnsi="Arial" w:cs="Arial"/>
        </w:rPr>
        <w:t>Junction geometry improvements at key junctions; and</w:t>
      </w:r>
    </w:p>
    <w:p w:rsidR="00FE25AB" w:rsidRDefault="00FE25AB">
      <w:pPr>
        <w:pStyle w:val="ListParagraph"/>
        <w:numPr>
          <w:ilvl w:val="0"/>
          <w:numId w:val="12"/>
        </w:numPr>
        <w:rPr>
          <w:rFonts w:ascii="Arial" w:hAnsi="Arial" w:cs="Arial"/>
        </w:rPr>
      </w:pPr>
      <w:r>
        <w:rPr>
          <w:rFonts w:ascii="Arial" w:hAnsi="Arial" w:cs="Arial"/>
        </w:rPr>
        <w:t>Real time delay monitoring and provision of VMS.</w:t>
      </w:r>
    </w:p>
    <w:p w:rsidR="00FE25AB" w:rsidRDefault="00FE25AB">
      <w:r>
        <w:t>An optimised SCOOT system can reportedly generate savings of 12% on average compared to TRANSYT based fixed cycle arrangements</w:t>
      </w:r>
      <w:r>
        <w:rPr>
          <w:rStyle w:val="FootnoteReference"/>
          <w:rFonts w:ascii="Arial" w:hAnsi="Arial" w:cs="Arial"/>
        </w:rPr>
        <w:footnoteReference w:id="10"/>
      </w:r>
      <w:r>
        <w:t xml:space="preserve">. Central </w:t>
      </w:r>
      <w:proofErr w:type="spellStart"/>
      <w:r>
        <w:t>Strood</w:t>
      </w:r>
      <w:proofErr w:type="spellEnd"/>
      <w:r>
        <w:t xml:space="preserve"> currently has a SCOOT system which is split into three separate components. The current system is operating sub optimally and could be enhanced through reconfiguration. Discussions with the Council have also highlighted problem junctions within the centre which the system is struggling to cope with at busy periods. </w:t>
      </w:r>
    </w:p>
    <w:p w:rsidR="00FE25AB" w:rsidRDefault="00FE25AB"/>
    <w:p w:rsidR="00FE25AB" w:rsidRDefault="00FE25AB">
      <w:r>
        <w:t xml:space="preserve">Given that the majority of junctions within </w:t>
      </w:r>
      <w:proofErr w:type="spellStart"/>
      <w:r>
        <w:t>Strood</w:t>
      </w:r>
      <w:proofErr w:type="spellEnd"/>
      <w:r>
        <w:t xml:space="preserve"> are already operating under a SCOOT controlled system, albeit old and in need of recalibration, we would not expect a 12% saving to be achieved from SCOOT modifications alone. However, with the SCOOT systems recalibration, there will also be an upgrade to the system as a whole through the introduction of VMS and identified road network capacity improvements made in addition. The combined impact of these elements, is therefore considered to have an impact similar to introducing SCOOT to a fixed signal environment, reducing delay overall for the locality by in the region of 5 to 12%. </w:t>
      </w:r>
    </w:p>
    <w:p w:rsidR="00FE25AB" w:rsidRDefault="00FE25AB"/>
    <w:p w:rsidR="00FE25AB" w:rsidRDefault="00FE25AB">
      <w:r>
        <w:t xml:space="preserve">Benefits have been calculated on the conservative assumption of a 5% reduction in overall traffic delay. The assessment showed 2,307 vehicle/hours delay per weekday (AM, PM Peaks and Inter-Peak) within </w:t>
      </w:r>
      <w:proofErr w:type="spellStart"/>
      <w:r>
        <w:t>Strood</w:t>
      </w:r>
      <w:proofErr w:type="spellEnd"/>
      <w:r>
        <w:t>. Using the conservative assumption that a reduction in delays of 5% will be delivered through enhanced UTC and network / junction improvements implies a saving of 115 vehicle/hours per day.</w:t>
      </w:r>
    </w:p>
    <w:p w:rsidR="00FE25AB" w:rsidRDefault="00FE25AB"/>
    <w:p w:rsidR="00FE25AB" w:rsidRDefault="00FE25AB">
      <w:r>
        <w:t xml:space="preserve">The calculations have been carried out making use of values included in the </w:t>
      </w:r>
      <w:proofErr w:type="spellStart"/>
      <w:r>
        <w:t>WebTAG</w:t>
      </w:r>
      <w:proofErr w:type="spellEnd"/>
      <w:r>
        <w:t xml:space="preserve"> </w:t>
      </w:r>
      <w:proofErr w:type="spellStart"/>
      <w:r>
        <w:t>databook</w:t>
      </w:r>
      <w:proofErr w:type="spellEnd"/>
      <w:r>
        <w:t xml:space="preserve"> (Autumn 2014 version) for the following assumptions:</w:t>
      </w:r>
    </w:p>
    <w:p w:rsidR="00FE25AB" w:rsidRDefault="00FE25AB">
      <w:pPr>
        <w:pStyle w:val="ListParagraph"/>
        <w:numPr>
          <w:ilvl w:val="0"/>
          <w:numId w:val="11"/>
        </w:numPr>
        <w:spacing w:after="0" w:line="264" w:lineRule="auto"/>
        <w:jc w:val="both"/>
        <w:rPr>
          <w:rFonts w:ascii="Arial" w:hAnsi="Arial" w:cs="Arial"/>
        </w:rPr>
      </w:pPr>
      <w:r>
        <w:rPr>
          <w:rFonts w:ascii="Arial" w:hAnsi="Arial" w:cs="Arial"/>
        </w:rPr>
        <w:t>Traffic composition by purpose; and</w:t>
      </w:r>
    </w:p>
    <w:p w:rsidR="00FE25AB" w:rsidRDefault="00FE25AB">
      <w:pPr>
        <w:pStyle w:val="ListParagraph"/>
        <w:numPr>
          <w:ilvl w:val="0"/>
          <w:numId w:val="11"/>
        </w:numPr>
        <w:spacing w:after="0" w:line="264" w:lineRule="auto"/>
        <w:jc w:val="both"/>
        <w:rPr>
          <w:rFonts w:ascii="Arial" w:hAnsi="Arial" w:cs="Arial"/>
        </w:rPr>
      </w:pPr>
      <w:r>
        <w:rPr>
          <w:rFonts w:ascii="Arial" w:hAnsi="Arial" w:cs="Arial"/>
        </w:rPr>
        <w:t>Value of time.</w:t>
      </w:r>
    </w:p>
    <w:p w:rsidR="00FE25AB" w:rsidRDefault="00FE25AB"/>
    <w:p w:rsidR="00FE25AB" w:rsidRDefault="00FE25AB">
      <w:r>
        <w:t xml:space="preserve">Benefits have been calculated over a 60 year period, and values discounted to 2010 prices and values. Traffic growth has been applied for the first 15 years of the assessment period, based on TEMPRO growth levels for </w:t>
      </w:r>
      <w:proofErr w:type="spellStart"/>
      <w:r>
        <w:t>Strood</w:t>
      </w:r>
      <w:proofErr w:type="spellEnd"/>
      <w:r>
        <w:t xml:space="preserve"> with appropriate fuel and income adjustments applied. This equates to a growth rate of approximately 0.8% per annum over 15 years. </w:t>
      </w:r>
    </w:p>
    <w:p w:rsidR="00FE25AB" w:rsidRDefault="00FE25AB"/>
    <w:p w:rsidR="00FE25AB" w:rsidRDefault="00FE25AB">
      <w:r>
        <w:t>Traffic growth would clearly lead to increasing congestion in the base network. However, without a model to examine the growth in delay per vehicle, it has been assumed that delay per vehicle remains constant. We consider that this underestimates the benefits of the scheme resulting in a conservative total delay value.</w:t>
      </w:r>
    </w:p>
    <w:p w:rsidR="00FE25AB" w:rsidRDefault="00FE25AB"/>
    <w:p w:rsidR="00FE25AB" w:rsidRDefault="00FE25AB">
      <w:r>
        <w:t xml:space="preserve">There are clearly other factors that would affect traffic volumes in </w:t>
      </w:r>
      <w:proofErr w:type="spellStart"/>
      <w:r>
        <w:t>Strood</w:t>
      </w:r>
      <w:proofErr w:type="spellEnd"/>
      <w:r>
        <w:t xml:space="preserve"> as a result of the proposed schemes;</w:t>
      </w:r>
    </w:p>
    <w:p w:rsidR="00FE25AB" w:rsidRDefault="00FE25AB"/>
    <w:p w:rsidR="00FE25AB" w:rsidRDefault="00FE25AB">
      <w:pPr>
        <w:pStyle w:val="ListParagraph"/>
        <w:numPr>
          <w:ilvl w:val="0"/>
          <w:numId w:val="21"/>
        </w:numPr>
        <w:spacing w:after="0" w:line="264" w:lineRule="auto"/>
        <w:jc w:val="both"/>
        <w:rPr>
          <w:rFonts w:ascii="Arial" w:hAnsi="Arial" w:cs="Arial"/>
        </w:rPr>
      </w:pPr>
      <w:r>
        <w:rPr>
          <w:rFonts w:ascii="Arial" w:hAnsi="Arial" w:cs="Arial"/>
        </w:rPr>
        <w:t>Improvements to public transport and active modes are anticipated to reduce car use, which would lead to lower levels of growth within the town centre.</w:t>
      </w:r>
    </w:p>
    <w:p w:rsidR="00FE25AB" w:rsidRDefault="00FE25AB">
      <w:pPr>
        <w:pStyle w:val="ListParagraph"/>
        <w:numPr>
          <w:ilvl w:val="0"/>
          <w:numId w:val="21"/>
        </w:numPr>
        <w:spacing w:after="0" w:line="264" w:lineRule="auto"/>
        <w:jc w:val="both"/>
        <w:rPr>
          <w:rFonts w:ascii="Arial" w:hAnsi="Arial" w:cs="Arial"/>
        </w:rPr>
      </w:pPr>
      <w:r>
        <w:rPr>
          <w:rFonts w:ascii="Arial" w:hAnsi="Arial" w:cs="Arial"/>
        </w:rPr>
        <w:t>Reductions in delay and improvements to circulation may potentially increase levels of traffic in the town centre.</w:t>
      </w:r>
    </w:p>
    <w:p w:rsidR="00FE25AB" w:rsidRDefault="00FE25AB"/>
    <w:p w:rsidR="00FE25AB" w:rsidRDefault="00FE25AB">
      <w:pPr>
        <w:pStyle w:val="ListParagraph"/>
        <w:spacing w:after="0" w:line="240" w:lineRule="auto"/>
        <w:rPr>
          <w:rFonts w:ascii="Arial" w:hAnsi="Arial" w:cs="Arial"/>
        </w:rPr>
      </w:pPr>
      <w:r>
        <w:rPr>
          <w:rFonts w:ascii="Arial" w:hAnsi="Arial" w:cs="Arial"/>
        </w:rPr>
        <w:t xml:space="preserve">Without access to a model the relative impacts of these two effects on flow levels through the signalised network could not be calculated. The impact of different scheme elements in terms of travel time by purpose, health benefits, accident savings and non monetised qualitative benefits have however been categorised, as shown in the final TEE table. </w:t>
      </w:r>
    </w:p>
    <w:p w:rsidR="00FE25AB" w:rsidRDefault="00FE25AB"/>
    <w:p w:rsidR="00FE25AB" w:rsidRDefault="00FE25AB">
      <w:pPr>
        <w:rPr>
          <w:color w:val="E36C0A"/>
        </w:rPr>
      </w:pPr>
      <w:r>
        <w:t>For the purpose of the delay analysis it has been assumed that overall the effect is neutral. This also avoids any requirement to implement a TUBA style rule of a half methodology, to assess benefits in cases of changes in overall demand. Sensitivity tests were carried out to test the impact of lower growth rates on the overall benefits, which showed that the level of benefits was not significantly sensitive to growth levels. A growth rate of half that assumed reduces delay benefits by 9%.</w:t>
      </w:r>
    </w:p>
    <w:p w:rsidR="00FE25AB" w:rsidRDefault="00FE25AB">
      <w:pPr>
        <w:rPr>
          <w:color w:val="E36C0A"/>
        </w:rPr>
      </w:pPr>
    </w:p>
    <w:p w:rsidR="00FE25AB" w:rsidRDefault="00FE25AB">
      <w:r>
        <w:t xml:space="preserve">Using the above assumptions, the model estimates an overall cost saving over the 60 year assessment period due to reduced delay of £16.54 million in 2010 prices and values. </w:t>
      </w:r>
    </w:p>
    <w:p w:rsidR="00FE25AB" w:rsidRDefault="00FE25AB"/>
    <w:p w:rsidR="00FE25AB" w:rsidRDefault="00FE25AB">
      <w:pPr>
        <w:rPr>
          <w:color w:val="E36C0A"/>
        </w:rPr>
      </w:pPr>
      <w:r>
        <w:t>This value is made up of time savings to vehicle occupants. It is acknowledged that there would be additional savings in terms of reduced fuel consumption; however this could not be quantified from the information available. This indicates that benefits reported represent a lower bound of a realistic anticipated outcome.</w:t>
      </w:r>
    </w:p>
    <w:p w:rsidR="00FE25AB" w:rsidRDefault="00FE25AB">
      <w:pPr>
        <w:rPr>
          <w:color w:val="E36C0A"/>
        </w:rPr>
      </w:pPr>
    </w:p>
    <w:p w:rsidR="00FE25AB" w:rsidRDefault="00FE25AB">
      <w:pPr>
        <w:pStyle w:val="ListParagraph"/>
        <w:spacing w:after="0" w:line="240" w:lineRule="auto"/>
        <w:rPr>
          <w:rFonts w:ascii="Arial" w:hAnsi="Arial" w:cs="Arial"/>
        </w:rPr>
      </w:pPr>
      <w:r>
        <w:rPr>
          <w:rFonts w:ascii="Arial" w:hAnsi="Arial" w:cs="Arial"/>
        </w:rPr>
        <w:t>The breakdown in benefits by trip purpose are shown below:</w:t>
      </w:r>
    </w:p>
    <w:p w:rsidR="00FE25AB" w:rsidRDefault="00FE25AB">
      <w:pPr>
        <w:rPr>
          <w:color w:val="E36C0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2551"/>
      </w:tblGrid>
      <w:tr w:rsidR="00FE25AB">
        <w:trPr>
          <w:jc w:val="center"/>
        </w:trPr>
        <w:tc>
          <w:tcPr>
            <w:tcW w:w="2235" w:type="dxa"/>
            <w:shd w:val="clear" w:color="auto" w:fill="D9D9D9"/>
            <w:vAlign w:val="center"/>
          </w:tcPr>
          <w:p w:rsidR="00FE25AB" w:rsidRDefault="00FE25AB">
            <w:pPr>
              <w:ind w:left="0"/>
              <w:rPr>
                <w:b/>
                <w:bCs/>
              </w:rPr>
            </w:pPr>
            <w:r>
              <w:rPr>
                <w:b/>
                <w:bCs/>
              </w:rPr>
              <w:t>Purpose</w:t>
            </w:r>
          </w:p>
        </w:tc>
        <w:tc>
          <w:tcPr>
            <w:tcW w:w="2551" w:type="dxa"/>
            <w:shd w:val="clear" w:color="auto" w:fill="D9D9D9"/>
            <w:vAlign w:val="center"/>
          </w:tcPr>
          <w:p w:rsidR="00FE25AB" w:rsidRDefault="00FE25AB">
            <w:pPr>
              <w:ind w:left="0"/>
              <w:rPr>
                <w:b/>
                <w:bCs/>
              </w:rPr>
            </w:pPr>
            <w:r>
              <w:rPr>
                <w:b/>
                <w:bCs/>
              </w:rPr>
              <w:t>£m</w:t>
            </w:r>
          </w:p>
          <w:p w:rsidR="00FE25AB" w:rsidRDefault="00FE25AB">
            <w:pPr>
              <w:ind w:left="0"/>
              <w:rPr>
                <w:b/>
                <w:bCs/>
              </w:rPr>
            </w:pPr>
            <w:r>
              <w:rPr>
                <w:b/>
                <w:bCs/>
              </w:rPr>
              <w:t>(2010 values and prices)</w:t>
            </w:r>
          </w:p>
        </w:tc>
      </w:tr>
      <w:tr w:rsidR="00FE25AB">
        <w:trPr>
          <w:jc w:val="center"/>
        </w:trPr>
        <w:tc>
          <w:tcPr>
            <w:tcW w:w="2235" w:type="dxa"/>
            <w:vAlign w:val="center"/>
          </w:tcPr>
          <w:p w:rsidR="00FE25AB" w:rsidRDefault="00FE25AB">
            <w:pPr>
              <w:ind w:left="0"/>
            </w:pPr>
            <w:r>
              <w:t>In work</w:t>
            </w:r>
          </w:p>
        </w:tc>
        <w:tc>
          <w:tcPr>
            <w:tcW w:w="2551" w:type="dxa"/>
            <w:vAlign w:val="center"/>
          </w:tcPr>
          <w:p w:rsidR="00FE25AB" w:rsidRDefault="00FE25AB">
            <w:pPr>
              <w:ind w:left="0"/>
            </w:pPr>
            <w:r>
              <w:t>7.00</w:t>
            </w:r>
          </w:p>
        </w:tc>
      </w:tr>
      <w:tr w:rsidR="00FE25AB">
        <w:trPr>
          <w:jc w:val="center"/>
        </w:trPr>
        <w:tc>
          <w:tcPr>
            <w:tcW w:w="2235" w:type="dxa"/>
            <w:vAlign w:val="center"/>
          </w:tcPr>
          <w:p w:rsidR="00FE25AB" w:rsidRDefault="00FE25AB">
            <w:pPr>
              <w:ind w:left="0"/>
            </w:pPr>
            <w:r>
              <w:t>Commute</w:t>
            </w:r>
          </w:p>
        </w:tc>
        <w:tc>
          <w:tcPr>
            <w:tcW w:w="2551" w:type="dxa"/>
            <w:vAlign w:val="center"/>
          </w:tcPr>
          <w:p w:rsidR="00FE25AB" w:rsidRDefault="00FE25AB">
            <w:pPr>
              <w:ind w:left="0"/>
            </w:pPr>
            <w:r>
              <w:t>4.40</w:t>
            </w:r>
          </w:p>
        </w:tc>
      </w:tr>
      <w:tr w:rsidR="00FE25AB">
        <w:trPr>
          <w:jc w:val="center"/>
        </w:trPr>
        <w:tc>
          <w:tcPr>
            <w:tcW w:w="2235" w:type="dxa"/>
            <w:vAlign w:val="center"/>
          </w:tcPr>
          <w:p w:rsidR="00FE25AB" w:rsidRDefault="00FE25AB">
            <w:pPr>
              <w:ind w:left="0"/>
            </w:pPr>
            <w:r>
              <w:t>Other</w:t>
            </w:r>
          </w:p>
        </w:tc>
        <w:tc>
          <w:tcPr>
            <w:tcW w:w="2551" w:type="dxa"/>
            <w:vAlign w:val="center"/>
          </w:tcPr>
          <w:p w:rsidR="00FE25AB" w:rsidRDefault="00FE25AB">
            <w:pPr>
              <w:ind w:left="0"/>
            </w:pPr>
            <w:r>
              <w:t>4.23</w:t>
            </w:r>
          </w:p>
        </w:tc>
      </w:tr>
      <w:tr w:rsidR="00FE25AB">
        <w:trPr>
          <w:jc w:val="center"/>
        </w:trPr>
        <w:tc>
          <w:tcPr>
            <w:tcW w:w="2235" w:type="dxa"/>
            <w:vAlign w:val="center"/>
          </w:tcPr>
          <w:p w:rsidR="00FE25AB" w:rsidRDefault="00FE25AB">
            <w:pPr>
              <w:ind w:left="0"/>
            </w:pPr>
            <w:r>
              <w:t>Goods vehicles</w:t>
            </w:r>
          </w:p>
        </w:tc>
        <w:tc>
          <w:tcPr>
            <w:tcW w:w="2551" w:type="dxa"/>
            <w:vAlign w:val="center"/>
          </w:tcPr>
          <w:p w:rsidR="00FE25AB" w:rsidRDefault="00FE25AB">
            <w:pPr>
              <w:ind w:left="0"/>
            </w:pPr>
            <w:r>
              <w:t>0.91</w:t>
            </w:r>
          </w:p>
        </w:tc>
      </w:tr>
      <w:tr w:rsidR="00FE25AB">
        <w:trPr>
          <w:jc w:val="center"/>
        </w:trPr>
        <w:tc>
          <w:tcPr>
            <w:tcW w:w="2235" w:type="dxa"/>
            <w:vAlign w:val="center"/>
          </w:tcPr>
          <w:p w:rsidR="00FE25AB" w:rsidRDefault="00FE25AB">
            <w:pPr>
              <w:ind w:left="0"/>
              <w:rPr>
                <w:b/>
                <w:bCs/>
              </w:rPr>
            </w:pPr>
            <w:r>
              <w:rPr>
                <w:b/>
                <w:bCs/>
              </w:rPr>
              <w:t>Total</w:t>
            </w:r>
          </w:p>
        </w:tc>
        <w:tc>
          <w:tcPr>
            <w:tcW w:w="2551" w:type="dxa"/>
            <w:vAlign w:val="center"/>
          </w:tcPr>
          <w:p w:rsidR="00FE25AB" w:rsidRDefault="00FE25AB">
            <w:pPr>
              <w:ind w:left="0"/>
              <w:rPr>
                <w:b/>
                <w:bCs/>
              </w:rPr>
            </w:pPr>
            <w:r>
              <w:rPr>
                <w:b/>
                <w:bCs/>
              </w:rPr>
              <w:t>16.54</w:t>
            </w:r>
          </w:p>
        </w:tc>
      </w:tr>
    </w:tbl>
    <w:p w:rsidR="00FE25AB" w:rsidRDefault="00FE25AB"/>
    <w:p w:rsidR="00FE25AB" w:rsidRDefault="00FE25AB">
      <w:pPr>
        <w:pStyle w:val="ListParagraph"/>
        <w:spacing w:after="0" w:line="240" w:lineRule="auto"/>
        <w:rPr>
          <w:rFonts w:ascii="Arial" w:hAnsi="Arial" w:cs="Arial"/>
        </w:rPr>
      </w:pPr>
      <w:r>
        <w:rPr>
          <w:rFonts w:ascii="Arial" w:hAnsi="Arial" w:cs="Arial"/>
        </w:rPr>
        <w:t xml:space="preserve">The methodology provides a similar time saving to all trip purposes, vehicle types and journey distances. There is no evidence on the breakdown of journey characteristics through </w:t>
      </w:r>
      <w:proofErr w:type="spellStart"/>
      <w:r>
        <w:rPr>
          <w:rFonts w:ascii="Arial" w:hAnsi="Arial" w:cs="Arial"/>
        </w:rPr>
        <w:t>Strood</w:t>
      </w:r>
      <w:proofErr w:type="spellEnd"/>
      <w:r>
        <w:rPr>
          <w:rFonts w:ascii="Arial" w:hAnsi="Arial" w:cs="Arial"/>
        </w:rPr>
        <w:t xml:space="preserve"> and thus the spread in the benefit scale could not be calculated.</w:t>
      </w:r>
    </w:p>
    <w:p w:rsidR="00FE25AB" w:rsidRDefault="00FE25AB"/>
    <w:p w:rsidR="00FE25AB" w:rsidRDefault="00FE25AB">
      <w:pPr>
        <w:rPr>
          <w:color w:val="E36C0A"/>
        </w:rPr>
      </w:pPr>
      <w:r>
        <w:t>Congestion reduction would be expected to have a negative impact on indirect tax receipts which would reduce PVB. However, since benefits in fuel costs to users have not been included in the calculation it may be assumed that this omission would not impact negatively on the PVB reported.</w:t>
      </w:r>
    </w:p>
    <w:p w:rsidR="00FE25AB" w:rsidRDefault="00FE25AB"/>
    <w:p w:rsidR="00FE25AB" w:rsidRDefault="00FE25AB">
      <w:pPr>
        <w:pStyle w:val="Subsection"/>
        <w:rPr>
          <w:i/>
          <w:iCs/>
        </w:rPr>
      </w:pPr>
      <w:r>
        <w:rPr>
          <w:i/>
          <w:iCs/>
        </w:rPr>
        <w:t>3.2.3</w:t>
      </w:r>
      <w:r>
        <w:rPr>
          <w:i/>
          <w:iCs/>
        </w:rPr>
        <w:tab/>
        <w:t>Walking &amp; Cycling</w:t>
      </w:r>
    </w:p>
    <w:p w:rsidR="00FE25AB" w:rsidRDefault="00FE25AB"/>
    <w:p w:rsidR="00FE25AB" w:rsidRDefault="00FE25AB">
      <w:r>
        <w:t>Many of the improvements identified in Appendix A are aimed at improving the walking and cycling networks, thereby encouraging increased use of these modes. Schemes include:</w:t>
      </w:r>
    </w:p>
    <w:p w:rsidR="00FE25AB" w:rsidRDefault="00FE25AB">
      <w:pPr>
        <w:pStyle w:val="ListParagraph"/>
        <w:numPr>
          <w:ilvl w:val="0"/>
          <w:numId w:val="13"/>
        </w:numPr>
        <w:spacing w:after="0" w:line="264" w:lineRule="auto"/>
        <w:jc w:val="both"/>
        <w:rPr>
          <w:rFonts w:ascii="Arial" w:hAnsi="Arial" w:cs="Arial"/>
        </w:rPr>
      </w:pPr>
      <w:r>
        <w:rPr>
          <w:rFonts w:ascii="Arial" w:hAnsi="Arial" w:cs="Arial"/>
        </w:rPr>
        <w:t>Improvements to the cycle network, including the completion of a main cycle route through the town;</w:t>
      </w:r>
    </w:p>
    <w:p w:rsidR="00FE25AB" w:rsidRDefault="00FE25AB">
      <w:pPr>
        <w:pStyle w:val="ListParagraph"/>
        <w:numPr>
          <w:ilvl w:val="0"/>
          <w:numId w:val="13"/>
        </w:numPr>
        <w:spacing w:after="0" w:line="264" w:lineRule="auto"/>
        <w:jc w:val="both"/>
        <w:rPr>
          <w:rFonts w:ascii="Arial" w:hAnsi="Arial" w:cs="Arial"/>
        </w:rPr>
      </w:pPr>
      <w:r>
        <w:rPr>
          <w:rFonts w:ascii="Arial" w:hAnsi="Arial" w:cs="Arial"/>
        </w:rPr>
        <w:t>Widening footpaths;</w:t>
      </w:r>
    </w:p>
    <w:p w:rsidR="00FE25AB" w:rsidRDefault="00FE25AB">
      <w:pPr>
        <w:pStyle w:val="ListParagraph"/>
        <w:numPr>
          <w:ilvl w:val="0"/>
          <w:numId w:val="13"/>
        </w:numPr>
        <w:spacing w:after="0" w:line="264" w:lineRule="auto"/>
        <w:jc w:val="both"/>
        <w:rPr>
          <w:rFonts w:ascii="Arial" w:hAnsi="Arial" w:cs="Arial"/>
        </w:rPr>
      </w:pPr>
      <w:r>
        <w:rPr>
          <w:rFonts w:ascii="Arial" w:hAnsi="Arial" w:cs="Arial"/>
        </w:rPr>
        <w:t>Provision of additional lighting on walking routes;</w:t>
      </w:r>
    </w:p>
    <w:p w:rsidR="00FE25AB" w:rsidRDefault="00FE25AB">
      <w:pPr>
        <w:pStyle w:val="ListParagraph"/>
        <w:numPr>
          <w:ilvl w:val="0"/>
          <w:numId w:val="13"/>
        </w:numPr>
        <w:spacing w:after="0" w:line="264" w:lineRule="auto"/>
        <w:jc w:val="both"/>
        <w:rPr>
          <w:rFonts w:ascii="Arial" w:hAnsi="Arial" w:cs="Arial"/>
        </w:rPr>
      </w:pPr>
      <w:r>
        <w:rPr>
          <w:rFonts w:ascii="Arial" w:hAnsi="Arial" w:cs="Arial"/>
        </w:rPr>
        <w:t>Provision of improved crossing facilities; and</w:t>
      </w:r>
    </w:p>
    <w:p w:rsidR="00FE25AB" w:rsidRDefault="00FE25AB">
      <w:pPr>
        <w:pStyle w:val="ListParagraph"/>
        <w:numPr>
          <w:ilvl w:val="0"/>
          <w:numId w:val="13"/>
        </w:numPr>
        <w:spacing w:after="0" w:line="264" w:lineRule="auto"/>
        <w:jc w:val="both"/>
        <w:rPr>
          <w:rFonts w:ascii="Arial" w:hAnsi="Arial" w:cs="Arial"/>
        </w:rPr>
      </w:pPr>
      <w:r>
        <w:rPr>
          <w:rFonts w:ascii="Arial" w:hAnsi="Arial" w:cs="Arial"/>
        </w:rPr>
        <w:t>Provision of improved walk/cycle links to the station.</w:t>
      </w:r>
    </w:p>
    <w:p w:rsidR="00FE25AB" w:rsidRDefault="00FE25AB"/>
    <w:p w:rsidR="00FE25AB" w:rsidRDefault="00FE25AB">
      <w:proofErr w:type="spellStart"/>
      <w:r>
        <w:t>WebTAG</w:t>
      </w:r>
      <w:proofErr w:type="spellEnd"/>
      <w:r>
        <w:t xml:space="preserve"> Unit A5.1 sets out an approach to the monetisation of the health benefits from increased walking and cycling activity, and the approach identified in that document has been used for this analysis.</w:t>
      </w:r>
    </w:p>
    <w:p w:rsidR="00FE25AB" w:rsidRDefault="00FE25AB"/>
    <w:p w:rsidR="00FE25AB" w:rsidRDefault="00FE25AB">
      <w:r>
        <w:t xml:space="preserve">Analysis of the journey to work census data as shown in Table 3a shows that rates of walking and cycling in </w:t>
      </w:r>
      <w:proofErr w:type="spellStart"/>
      <w:r>
        <w:t>Strood</w:t>
      </w:r>
      <w:proofErr w:type="spellEnd"/>
      <w:r>
        <w:t xml:space="preserve"> are lower than in neighbouring Rochester and lower than in Medway as a whole and significantly lower than the South-East average.</w:t>
      </w:r>
    </w:p>
    <w:p w:rsidR="00FE25AB" w:rsidRDefault="00FE25AB"/>
    <w:p w:rsidR="00FE25AB" w:rsidRDefault="00FE25AB">
      <w:pPr>
        <w:rPr>
          <w:b/>
          <w:bCs/>
        </w:rPr>
      </w:pPr>
      <w:r>
        <w:rPr>
          <w:b/>
          <w:bCs/>
        </w:rPr>
        <w:t>Table 3a – Rates of Walking &amp; Cycling</w:t>
      </w:r>
    </w:p>
    <w:p w:rsidR="00FE25AB" w:rsidRDefault="00FE25AB"/>
    <w:tbl>
      <w:tblPr>
        <w:tblW w:w="86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276"/>
        <w:gridCol w:w="1134"/>
        <w:gridCol w:w="1276"/>
        <w:gridCol w:w="1134"/>
        <w:gridCol w:w="1134"/>
        <w:gridCol w:w="1134"/>
      </w:tblGrid>
      <w:tr w:rsidR="00FE25AB">
        <w:trPr>
          <w:cantSplit/>
          <w:trHeight w:val="403"/>
        </w:trPr>
        <w:tc>
          <w:tcPr>
            <w:tcW w:w="1559" w:type="dxa"/>
            <w:vMerge w:val="restart"/>
            <w:shd w:val="clear" w:color="auto" w:fill="D9D9D9"/>
            <w:vAlign w:val="center"/>
          </w:tcPr>
          <w:p w:rsidR="00FE25AB" w:rsidRDefault="00FE25AB">
            <w:pPr>
              <w:ind w:left="0"/>
            </w:pPr>
            <w:r>
              <w:t>Area</w:t>
            </w:r>
          </w:p>
        </w:tc>
        <w:tc>
          <w:tcPr>
            <w:tcW w:w="1276" w:type="dxa"/>
            <w:vMerge w:val="restart"/>
            <w:shd w:val="clear" w:color="auto" w:fill="D9D9D9"/>
            <w:noWrap/>
            <w:vAlign w:val="center"/>
          </w:tcPr>
          <w:p w:rsidR="00FE25AB" w:rsidRDefault="00FE25AB">
            <w:pPr>
              <w:ind w:left="0"/>
            </w:pPr>
            <w:r>
              <w:t>Total travelling to work</w:t>
            </w:r>
          </w:p>
        </w:tc>
        <w:tc>
          <w:tcPr>
            <w:tcW w:w="5812" w:type="dxa"/>
            <w:gridSpan w:val="5"/>
            <w:shd w:val="clear" w:color="auto" w:fill="D9D9D9"/>
            <w:vAlign w:val="center"/>
          </w:tcPr>
          <w:p w:rsidR="00FE25AB" w:rsidRDefault="00FE25AB">
            <w:pPr>
              <w:jc w:val="center"/>
            </w:pPr>
            <w:r>
              <w:t>Modal Splits (other modes not included here)</w:t>
            </w:r>
          </w:p>
        </w:tc>
      </w:tr>
      <w:tr w:rsidR="00FE25AB">
        <w:trPr>
          <w:cantSplit/>
          <w:trHeight w:val="403"/>
        </w:trPr>
        <w:tc>
          <w:tcPr>
            <w:tcW w:w="1559" w:type="dxa"/>
            <w:vMerge/>
            <w:shd w:val="clear" w:color="auto" w:fill="D9D9D9"/>
            <w:vAlign w:val="center"/>
          </w:tcPr>
          <w:p w:rsidR="00FE25AB" w:rsidRDefault="00FE25AB">
            <w:pPr>
              <w:jc w:val="center"/>
            </w:pPr>
          </w:p>
        </w:tc>
        <w:tc>
          <w:tcPr>
            <w:tcW w:w="1276" w:type="dxa"/>
            <w:vMerge/>
            <w:shd w:val="clear" w:color="auto" w:fill="D9D9D9"/>
            <w:noWrap/>
            <w:vAlign w:val="center"/>
          </w:tcPr>
          <w:p w:rsidR="00FE25AB" w:rsidRDefault="00FE25AB">
            <w:pPr>
              <w:jc w:val="center"/>
            </w:pPr>
          </w:p>
        </w:tc>
        <w:tc>
          <w:tcPr>
            <w:tcW w:w="1134" w:type="dxa"/>
            <w:shd w:val="clear" w:color="auto" w:fill="D9D9D9"/>
            <w:vAlign w:val="center"/>
          </w:tcPr>
          <w:p w:rsidR="00FE25AB" w:rsidRDefault="00FE25AB">
            <w:pPr>
              <w:ind w:left="0"/>
              <w:jc w:val="center"/>
            </w:pPr>
            <w:r>
              <w:t>Bicycle</w:t>
            </w:r>
          </w:p>
        </w:tc>
        <w:tc>
          <w:tcPr>
            <w:tcW w:w="1276" w:type="dxa"/>
            <w:shd w:val="clear" w:color="auto" w:fill="D9D9D9"/>
            <w:vAlign w:val="center"/>
          </w:tcPr>
          <w:p w:rsidR="00FE25AB" w:rsidRDefault="00FE25AB">
            <w:pPr>
              <w:ind w:left="0"/>
              <w:jc w:val="center"/>
            </w:pPr>
            <w:r>
              <w:t>Bus, minibus or coach</w:t>
            </w:r>
          </w:p>
        </w:tc>
        <w:tc>
          <w:tcPr>
            <w:tcW w:w="1134" w:type="dxa"/>
            <w:shd w:val="clear" w:color="auto" w:fill="D9D9D9"/>
            <w:vAlign w:val="center"/>
          </w:tcPr>
          <w:p w:rsidR="00FE25AB" w:rsidRDefault="00FE25AB">
            <w:pPr>
              <w:ind w:left="0"/>
              <w:jc w:val="center"/>
            </w:pPr>
            <w:r>
              <w:t>Driving a car or van</w:t>
            </w:r>
          </w:p>
        </w:tc>
        <w:tc>
          <w:tcPr>
            <w:tcW w:w="1134" w:type="dxa"/>
            <w:shd w:val="clear" w:color="auto" w:fill="D9D9D9"/>
            <w:vAlign w:val="center"/>
          </w:tcPr>
          <w:p w:rsidR="00FE25AB" w:rsidRDefault="00FE25AB">
            <w:pPr>
              <w:ind w:left="0"/>
              <w:jc w:val="center"/>
            </w:pPr>
            <w:r>
              <w:t>On foot</w:t>
            </w:r>
          </w:p>
        </w:tc>
        <w:tc>
          <w:tcPr>
            <w:tcW w:w="1134" w:type="dxa"/>
            <w:shd w:val="clear" w:color="auto" w:fill="D9D9D9"/>
            <w:vAlign w:val="center"/>
          </w:tcPr>
          <w:p w:rsidR="00FE25AB" w:rsidRDefault="00FE25AB">
            <w:pPr>
              <w:ind w:left="0"/>
              <w:jc w:val="center"/>
            </w:pPr>
            <w:r>
              <w:t>Train</w:t>
            </w:r>
          </w:p>
        </w:tc>
      </w:tr>
      <w:tr w:rsidR="00FE25AB">
        <w:trPr>
          <w:trHeight w:val="351"/>
        </w:trPr>
        <w:tc>
          <w:tcPr>
            <w:tcW w:w="1559" w:type="dxa"/>
            <w:vAlign w:val="center"/>
          </w:tcPr>
          <w:p w:rsidR="00FE25AB" w:rsidRDefault="00FE25AB">
            <w:pPr>
              <w:ind w:left="0"/>
            </w:pPr>
            <w:r>
              <w:t>South East</w:t>
            </w:r>
          </w:p>
        </w:tc>
        <w:tc>
          <w:tcPr>
            <w:tcW w:w="1276" w:type="dxa"/>
            <w:noWrap/>
            <w:vAlign w:val="bottom"/>
          </w:tcPr>
          <w:p w:rsidR="00FE25AB" w:rsidRDefault="00FE25AB">
            <w:pPr>
              <w:ind w:left="0"/>
            </w:pPr>
            <w:r>
              <w:t>3,758,139</w:t>
            </w:r>
          </w:p>
        </w:tc>
        <w:tc>
          <w:tcPr>
            <w:tcW w:w="1134" w:type="dxa"/>
            <w:noWrap/>
            <w:vAlign w:val="center"/>
          </w:tcPr>
          <w:p w:rsidR="00FE25AB" w:rsidRDefault="00FE25AB">
            <w:pPr>
              <w:ind w:left="0"/>
              <w:jc w:val="center"/>
            </w:pPr>
            <w:r>
              <w:t>3.3%</w:t>
            </w:r>
          </w:p>
        </w:tc>
        <w:tc>
          <w:tcPr>
            <w:tcW w:w="1276" w:type="dxa"/>
            <w:noWrap/>
            <w:vAlign w:val="center"/>
          </w:tcPr>
          <w:p w:rsidR="00FE25AB" w:rsidRDefault="00FE25AB">
            <w:pPr>
              <w:ind w:left="0"/>
              <w:jc w:val="center"/>
            </w:pPr>
            <w:r>
              <w:t>4.9%</w:t>
            </w:r>
          </w:p>
        </w:tc>
        <w:tc>
          <w:tcPr>
            <w:tcW w:w="1134" w:type="dxa"/>
            <w:noWrap/>
            <w:vAlign w:val="center"/>
          </w:tcPr>
          <w:p w:rsidR="00FE25AB" w:rsidRDefault="00FE25AB">
            <w:pPr>
              <w:ind w:left="0"/>
              <w:jc w:val="center"/>
            </w:pPr>
            <w:r>
              <w:t>70.4%</w:t>
            </w:r>
          </w:p>
        </w:tc>
        <w:tc>
          <w:tcPr>
            <w:tcW w:w="1134" w:type="dxa"/>
            <w:noWrap/>
            <w:vAlign w:val="center"/>
          </w:tcPr>
          <w:p w:rsidR="00FE25AB" w:rsidRDefault="00FE25AB">
            <w:pPr>
              <w:ind w:left="0"/>
              <w:jc w:val="center"/>
            </w:pPr>
            <w:r>
              <w:t>11.1%</w:t>
            </w:r>
          </w:p>
        </w:tc>
        <w:tc>
          <w:tcPr>
            <w:tcW w:w="1134" w:type="dxa"/>
            <w:vAlign w:val="center"/>
          </w:tcPr>
          <w:p w:rsidR="00FE25AB" w:rsidRDefault="00FE25AB">
            <w:pPr>
              <w:ind w:left="0"/>
              <w:jc w:val="center"/>
            </w:pPr>
            <w:r>
              <w:t>8.0%</w:t>
            </w:r>
          </w:p>
        </w:tc>
      </w:tr>
      <w:tr w:rsidR="00FE25AB">
        <w:trPr>
          <w:trHeight w:val="351"/>
        </w:trPr>
        <w:tc>
          <w:tcPr>
            <w:tcW w:w="1559" w:type="dxa"/>
            <w:vAlign w:val="center"/>
          </w:tcPr>
          <w:p w:rsidR="00FE25AB" w:rsidRDefault="00FE25AB">
            <w:pPr>
              <w:ind w:left="0"/>
            </w:pPr>
            <w:r>
              <w:t>Medway</w:t>
            </w:r>
          </w:p>
        </w:tc>
        <w:tc>
          <w:tcPr>
            <w:tcW w:w="1276" w:type="dxa"/>
            <w:noWrap/>
            <w:vAlign w:val="center"/>
          </w:tcPr>
          <w:p w:rsidR="00FE25AB" w:rsidRDefault="00FE25AB">
            <w:pPr>
              <w:ind w:left="0"/>
            </w:pPr>
            <w:r>
              <w:t>116,767</w:t>
            </w:r>
          </w:p>
        </w:tc>
        <w:tc>
          <w:tcPr>
            <w:tcW w:w="1134" w:type="dxa"/>
            <w:noWrap/>
            <w:vAlign w:val="center"/>
          </w:tcPr>
          <w:p w:rsidR="00FE25AB" w:rsidRDefault="00FE25AB">
            <w:pPr>
              <w:ind w:left="0"/>
              <w:jc w:val="center"/>
            </w:pPr>
            <w:r>
              <w:t>1.2%</w:t>
            </w:r>
          </w:p>
        </w:tc>
        <w:tc>
          <w:tcPr>
            <w:tcW w:w="1276" w:type="dxa"/>
            <w:noWrap/>
            <w:vAlign w:val="center"/>
          </w:tcPr>
          <w:p w:rsidR="00FE25AB" w:rsidRDefault="00FE25AB">
            <w:pPr>
              <w:ind w:left="0"/>
              <w:jc w:val="center"/>
            </w:pPr>
            <w:r>
              <w:t>5.0%</w:t>
            </w:r>
          </w:p>
        </w:tc>
        <w:tc>
          <w:tcPr>
            <w:tcW w:w="1134" w:type="dxa"/>
            <w:noWrap/>
            <w:vAlign w:val="center"/>
          </w:tcPr>
          <w:p w:rsidR="00FE25AB" w:rsidRDefault="00FE25AB">
            <w:pPr>
              <w:ind w:left="0"/>
              <w:jc w:val="center"/>
            </w:pPr>
            <w:r>
              <w:t>72.2%</w:t>
            </w:r>
          </w:p>
        </w:tc>
        <w:tc>
          <w:tcPr>
            <w:tcW w:w="1134" w:type="dxa"/>
            <w:noWrap/>
            <w:vAlign w:val="center"/>
          </w:tcPr>
          <w:p w:rsidR="00FE25AB" w:rsidRDefault="00FE25AB">
            <w:pPr>
              <w:ind w:left="0"/>
              <w:jc w:val="center"/>
            </w:pPr>
            <w:r>
              <w:t>10.0%</w:t>
            </w:r>
          </w:p>
        </w:tc>
        <w:tc>
          <w:tcPr>
            <w:tcW w:w="1134" w:type="dxa"/>
            <w:vAlign w:val="center"/>
          </w:tcPr>
          <w:p w:rsidR="00FE25AB" w:rsidRDefault="00FE25AB">
            <w:pPr>
              <w:ind w:left="0"/>
              <w:jc w:val="center"/>
            </w:pPr>
            <w:r>
              <w:t>9.4%</w:t>
            </w:r>
          </w:p>
        </w:tc>
      </w:tr>
      <w:tr w:rsidR="00FE25AB">
        <w:trPr>
          <w:trHeight w:val="351"/>
        </w:trPr>
        <w:tc>
          <w:tcPr>
            <w:tcW w:w="1559" w:type="dxa"/>
            <w:vAlign w:val="center"/>
          </w:tcPr>
          <w:p w:rsidR="00FE25AB" w:rsidRDefault="00FE25AB">
            <w:pPr>
              <w:ind w:left="0"/>
            </w:pPr>
            <w:r>
              <w:t>Rochester</w:t>
            </w:r>
          </w:p>
        </w:tc>
        <w:tc>
          <w:tcPr>
            <w:tcW w:w="1276" w:type="dxa"/>
            <w:noWrap/>
            <w:vAlign w:val="center"/>
          </w:tcPr>
          <w:p w:rsidR="00FE25AB" w:rsidRDefault="00FE25AB">
            <w:pPr>
              <w:ind w:left="0"/>
            </w:pPr>
            <w:r>
              <w:t>14,829</w:t>
            </w:r>
          </w:p>
        </w:tc>
        <w:tc>
          <w:tcPr>
            <w:tcW w:w="1134" w:type="dxa"/>
            <w:noWrap/>
            <w:vAlign w:val="center"/>
          </w:tcPr>
          <w:p w:rsidR="00FE25AB" w:rsidRDefault="00FE25AB">
            <w:pPr>
              <w:ind w:left="0"/>
              <w:jc w:val="center"/>
            </w:pPr>
            <w:r>
              <w:t>1.3%</w:t>
            </w:r>
          </w:p>
        </w:tc>
        <w:tc>
          <w:tcPr>
            <w:tcW w:w="1276" w:type="dxa"/>
            <w:noWrap/>
            <w:vAlign w:val="center"/>
          </w:tcPr>
          <w:p w:rsidR="00FE25AB" w:rsidRDefault="00FE25AB">
            <w:pPr>
              <w:ind w:left="0"/>
              <w:jc w:val="center"/>
            </w:pPr>
            <w:r>
              <w:t>4.7%</w:t>
            </w:r>
          </w:p>
        </w:tc>
        <w:tc>
          <w:tcPr>
            <w:tcW w:w="1134" w:type="dxa"/>
            <w:noWrap/>
            <w:vAlign w:val="center"/>
          </w:tcPr>
          <w:p w:rsidR="00FE25AB" w:rsidRDefault="00FE25AB">
            <w:pPr>
              <w:ind w:left="0"/>
              <w:jc w:val="center"/>
            </w:pPr>
            <w:r>
              <w:t>69.0%</w:t>
            </w:r>
          </w:p>
        </w:tc>
        <w:tc>
          <w:tcPr>
            <w:tcW w:w="1134" w:type="dxa"/>
            <w:noWrap/>
            <w:vAlign w:val="center"/>
          </w:tcPr>
          <w:p w:rsidR="00FE25AB" w:rsidRDefault="00FE25AB">
            <w:pPr>
              <w:ind w:left="0"/>
              <w:jc w:val="center"/>
            </w:pPr>
            <w:r>
              <w:t>10.9%</w:t>
            </w:r>
          </w:p>
        </w:tc>
        <w:tc>
          <w:tcPr>
            <w:tcW w:w="1134" w:type="dxa"/>
            <w:vAlign w:val="center"/>
          </w:tcPr>
          <w:p w:rsidR="00FE25AB" w:rsidRDefault="00FE25AB">
            <w:pPr>
              <w:ind w:left="0"/>
              <w:jc w:val="center"/>
            </w:pPr>
            <w:r>
              <w:t>11.9%</w:t>
            </w:r>
          </w:p>
        </w:tc>
      </w:tr>
      <w:tr w:rsidR="00FE25AB">
        <w:trPr>
          <w:trHeight w:val="351"/>
        </w:trPr>
        <w:tc>
          <w:tcPr>
            <w:tcW w:w="1559" w:type="dxa"/>
            <w:vAlign w:val="center"/>
          </w:tcPr>
          <w:p w:rsidR="00FE25AB" w:rsidRDefault="00FE25AB">
            <w:pPr>
              <w:ind w:left="0"/>
            </w:pPr>
            <w:proofErr w:type="spellStart"/>
            <w:r>
              <w:t>Strood</w:t>
            </w:r>
            <w:proofErr w:type="spellEnd"/>
          </w:p>
        </w:tc>
        <w:tc>
          <w:tcPr>
            <w:tcW w:w="1276" w:type="dxa"/>
            <w:noWrap/>
            <w:vAlign w:val="center"/>
          </w:tcPr>
          <w:p w:rsidR="00FE25AB" w:rsidRDefault="00FE25AB">
            <w:pPr>
              <w:ind w:left="0"/>
            </w:pPr>
            <w:r>
              <w:t>19,189</w:t>
            </w:r>
          </w:p>
        </w:tc>
        <w:tc>
          <w:tcPr>
            <w:tcW w:w="1134" w:type="dxa"/>
            <w:noWrap/>
            <w:vAlign w:val="center"/>
          </w:tcPr>
          <w:p w:rsidR="00FE25AB" w:rsidRDefault="00FE25AB">
            <w:pPr>
              <w:ind w:left="0"/>
              <w:jc w:val="center"/>
            </w:pPr>
            <w:r>
              <w:t>1.0%</w:t>
            </w:r>
          </w:p>
        </w:tc>
        <w:tc>
          <w:tcPr>
            <w:tcW w:w="1276" w:type="dxa"/>
            <w:noWrap/>
            <w:vAlign w:val="center"/>
          </w:tcPr>
          <w:p w:rsidR="00FE25AB" w:rsidRDefault="00FE25AB">
            <w:pPr>
              <w:ind w:left="0"/>
              <w:jc w:val="center"/>
            </w:pPr>
            <w:r>
              <w:t>4.9%</w:t>
            </w:r>
          </w:p>
        </w:tc>
        <w:tc>
          <w:tcPr>
            <w:tcW w:w="1134" w:type="dxa"/>
            <w:noWrap/>
            <w:vAlign w:val="center"/>
          </w:tcPr>
          <w:p w:rsidR="00FE25AB" w:rsidRDefault="00FE25AB">
            <w:pPr>
              <w:ind w:left="0"/>
              <w:jc w:val="center"/>
            </w:pPr>
            <w:r>
              <w:t>76.9%</w:t>
            </w:r>
          </w:p>
        </w:tc>
        <w:tc>
          <w:tcPr>
            <w:tcW w:w="1134" w:type="dxa"/>
            <w:noWrap/>
            <w:vAlign w:val="center"/>
          </w:tcPr>
          <w:p w:rsidR="00FE25AB" w:rsidRDefault="00FE25AB">
            <w:pPr>
              <w:ind w:left="0"/>
              <w:jc w:val="center"/>
            </w:pPr>
            <w:r>
              <w:t>7.7%</w:t>
            </w:r>
          </w:p>
        </w:tc>
        <w:tc>
          <w:tcPr>
            <w:tcW w:w="1134" w:type="dxa"/>
            <w:vAlign w:val="center"/>
          </w:tcPr>
          <w:p w:rsidR="00FE25AB" w:rsidRDefault="00FE25AB">
            <w:pPr>
              <w:ind w:left="0"/>
              <w:jc w:val="center"/>
            </w:pPr>
            <w:r>
              <w:t>7.4%</w:t>
            </w:r>
          </w:p>
        </w:tc>
      </w:tr>
    </w:tbl>
    <w:p w:rsidR="00FE25AB" w:rsidRDefault="00FE25AB"/>
    <w:p w:rsidR="00FE25AB" w:rsidRDefault="00FE25AB"/>
    <w:p w:rsidR="00FE25AB" w:rsidRDefault="00FE25AB">
      <w:r>
        <w:lastRenderedPageBreak/>
        <w:t>The assumption for the core scenario reported here has been that walking and cycling levels for work trips would be increased to the proportions observed in Medway as a whole. This is the lowest value of the comparators available, and thus provides a conservative estimate of the impacts of the range of schemes proposed.</w:t>
      </w:r>
    </w:p>
    <w:p w:rsidR="00FE25AB" w:rsidRDefault="00FE25AB"/>
    <w:p w:rsidR="00FE25AB" w:rsidRDefault="00FE25AB">
      <w:r>
        <w:t>An annual multiplier of 240 days has been assumed, given that the census data represents a neutral day in March, it is to be expected that there would be increases and decreases on a day-by-day and month-by-month basis. It is noted that non work benefits would also be accrued, but are not generated in this travel to work data based analysis.</w:t>
      </w:r>
    </w:p>
    <w:p w:rsidR="00FE25AB" w:rsidRDefault="00FE25AB"/>
    <w:p w:rsidR="00FE25AB" w:rsidRDefault="00FE25AB">
      <w:r>
        <w:t xml:space="preserve">Benefits from this change have been assessed using the Social Impacts Appraisal Methodology set out in Unit A4-1 of </w:t>
      </w:r>
      <w:proofErr w:type="spellStart"/>
      <w:r>
        <w:t>WebTAG</w:t>
      </w:r>
      <w:proofErr w:type="spellEnd"/>
      <w:r>
        <w:t xml:space="preserve">, which sets out an approach to calculating economic impacts of increased activity. Benefits have been calculated using a five year ramp up period to allow for the gradual impact of these benefits and assessed over a 30 year period from the opening year. No additional growth has been allowed for in terms of numbers of additional pedestrians or cyclists over time. Such growth might be expected and would increase the levels of forecast benefit if applied. </w:t>
      </w:r>
    </w:p>
    <w:p w:rsidR="00FE25AB" w:rsidRDefault="00FE25AB"/>
    <w:p w:rsidR="00FE25AB" w:rsidRDefault="00FE25AB">
      <w:r>
        <w:t>All values have been discounted to 2010 values and prices.</w:t>
      </w:r>
    </w:p>
    <w:p w:rsidR="00FE25AB" w:rsidRDefault="00FE25AB">
      <w:pPr>
        <w:ind w:left="0"/>
      </w:pPr>
    </w:p>
    <w:p w:rsidR="00FE25AB" w:rsidRDefault="00FE25AB">
      <w:pPr>
        <w:ind w:left="0"/>
        <w:rPr>
          <w:b/>
          <w:bCs/>
          <w:i/>
          <w:iCs/>
        </w:rPr>
      </w:pPr>
      <w:r>
        <w:rPr>
          <w:b/>
          <w:bCs/>
          <w:i/>
          <w:iCs/>
        </w:rPr>
        <w:t>3.2.4</w:t>
      </w:r>
      <w:r>
        <w:rPr>
          <w:b/>
          <w:bCs/>
          <w:i/>
          <w:iCs/>
        </w:rPr>
        <w:tab/>
        <w:t>Road Safety</w:t>
      </w:r>
    </w:p>
    <w:p w:rsidR="00FE25AB" w:rsidRDefault="00FE25AB"/>
    <w:p w:rsidR="00FE25AB" w:rsidRDefault="00FE25AB">
      <w:r>
        <w:t xml:space="preserve">An investigation of pedestrian and cycle accidents within </w:t>
      </w:r>
      <w:proofErr w:type="spellStart"/>
      <w:r>
        <w:t>Strood</w:t>
      </w:r>
      <w:proofErr w:type="spellEnd"/>
      <w:r>
        <w:t xml:space="preserve"> town centre has been undertaken. Anecdotally there are high levels of pedestrian accidents in the town centre. The figure below shows recorded casualties over a three year period between 2011 and 2014 (3 year period), indicating whether they involved road vehicles only, or whether there were pedestrian or cyclist casualties. This dataset originates from police incident reports.</w:t>
      </w:r>
    </w:p>
    <w:p w:rsidR="00FE25AB" w:rsidRDefault="004D0481">
      <w:pPr>
        <w:rPr>
          <w:color w:val="FF0000"/>
        </w:rPr>
      </w:pPr>
      <w:r>
        <w:rPr>
          <w:noProof/>
          <w:color w:val="FF0000"/>
          <w:lang w:eastAsia="en-GB"/>
        </w:rPr>
        <w:pict>
          <v:shape id="Picture 3" o:spid="_x0000_i1027" type="#_x0000_t75" alt="Strood_accidents.png" style="width:420.75pt;height:327.75pt;visibility:visible">
            <v:imagedata r:id="rId15" o:title=""/>
          </v:shape>
        </w:pict>
      </w:r>
    </w:p>
    <w:p w:rsidR="00FE25AB" w:rsidRDefault="00FE25AB">
      <w:pPr>
        <w:rPr>
          <w:color w:val="FF0000"/>
        </w:rPr>
      </w:pPr>
    </w:p>
    <w:p w:rsidR="00FE25AB" w:rsidRDefault="00FE25AB">
      <w:r>
        <w:lastRenderedPageBreak/>
        <w:t xml:space="preserve">A summary of the number of the </w:t>
      </w:r>
      <w:proofErr w:type="spellStart"/>
      <w:r>
        <w:t>Strood</w:t>
      </w:r>
      <w:proofErr w:type="spellEnd"/>
      <w:r>
        <w:t xml:space="preserve"> accident/collision related casualties between 2011 and 2014 is provided in Table 3b.</w:t>
      </w:r>
    </w:p>
    <w:p w:rsidR="00FE25AB" w:rsidRDefault="00FE25AB"/>
    <w:p w:rsidR="00FE25AB" w:rsidRDefault="00FE25AB">
      <w:pPr>
        <w:rPr>
          <w:b/>
          <w:bCs/>
        </w:rPr>
      </w:pPr>
      <w:r>
        <w:rPr>
          <w:b/>
          <w:bCs/>
        </w:rPr>
        <w:t>Table 3b – Summary of Collision History</w:t>
      </w:r>
    </w:p>
    <w:p w:rsidR="00FE25AB" w:rsidRDefault="00FE25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2098"/>
        <w:gridCol w:w="1694"/>
        <w:gridCol w:w="1426"/>
      </w:tblGrid>
      <w:tr w:rsidR="00FE25AB">
        <w:trPr>
          <w:trHeight w:val="575"/>
          <w:jc w:val="center"/>
        </w:trPr>
        <w:tc>
          <w:tcPr>
            <w:tcW w:w="3840" w:type="dxa"/>
            <w:gridSpan w:val="4"/>
            <w:shd w:val="clear" w:color="auto" w:fill="D9D9D9"/>
            <w:noWrap/>
            <w:vAlign w:val="center"/>
          </w:tcPr>
          <w:p w:rsidR="00FE25AB" w:rsidRDefault="00FE25AB">
            <w:pPr>
              <w:jc w:val="center"/>
              <w:rPr>
                <w:b/>
                <w:bCs/>
              </w:rPr>
            </w:pPr>
            <w:r>
              <w:rPr>
                <w:b/>
                <w:bCs/>
              </w:rPr>
              <w:t>Pedestrian and Pedal Cyclist Casualties 2011-2014</w:t>
            </w:r>
          </w:p>
        </w:tc>
      </w:tr>
      <w:tr w:rsidR="00FE25AB">
        <w:trPr>
          <w:trHeight w:val="300"/>
          <w:jc w:val="center"/>
        </w:trPr>
        <w:tc>
          <w:tcPr>
            <w:tcW w:w="960" w:type="dxa"/>
            <w:noWrap/>
            <w:vAlign w:val="center"/>
          </w:tcPr>
          <w:p w:rsidR="00FE25AB" w:rsidRDefault="00FE25AB">
            <w:pPr>
              <w:jc w:val="center"/>
              <w:rPr>
                <w:b/>
                <w:bCs/>
              </w:rPr>
            </w:pPr>
            <w:r>
              <w:rPr>
                <w:b/>
                <w:bCs/>
              </w:rPr>
              <w:t>Severity</w:t>
            </w:r>
          </w:p>
        </w:tc>
        <w:tc>
          <w:tcPr>
            <w:tcW w:w="960" w:type="dxa"/>
            <w:vAlign w:val="center"/>
          </w:tcPr>
          <w:p w:rsidR="00FE25AB" w:rsidRDefault="00FE25AB">
            <w:pPr>
              <w:jc w:val="center"/>
            </w:pPr>
            <w:r>
              <w:t>Pedestrians</w:t>
            </w:r>
          </w:p>
        </w:tc>
        <w:tc>
          <w:tcPr>
            <w:tcW w:w="960" w:type="dxa"/>
            <w:vAlign w:val="center"/>
          </w:tcPr>
          <w:p w:rsidR="00FE25AB" w:rsidRDefault="00FE25AB">
            <w:pPr>
              <w:jc w:val="center"/>
            </w:pPr>
            <w:r>
              <w:t>Cyclists</w:t>
            </w:r>
          </w:p>
        </w:tc>
        <w:tc>
          <w:tcPr>
            <w:tcW w:w="960" w:type="dxa"/>
            <w:noWrap/>
            <w:vAlign w:val="center"/>
          </w:tcPr>
          <w:p w:rsidR="00FE25AB" w:rsidRDefault="00FE25AB">
            <w:pPr>
              <w:jc w:val="center"/>
            </w:pPr>
            <w:r>
              <w:t>Total</w:t>
            </w:r>
          </w:p>
        </w:tc>
      </w:tr>
      <w:tr w:rsidR="00FE25AB">
        <w:trPr>
          <w:trHeight w:val="300"/>
          <w:jc w:val="center"/>
        </w:trPr>
        <w:tc>
          <w:tcPr>
            <w:tcW w:w="960" w:type="dxa"/>
            <w:noWrap/>
            <w:vAlign w:val="center"/>
          </w:tcPr>
          <w:p w:rsidR="00FE25AB" w:rsidRDefault="00FE25AB">
            <w:pPr>
              <w:jc w:val="center"/>
              <w:rPr>
                <w:b/>
                <w:bCs/>
              </w:rPr>
            </w:pPr>
            <w:r>
              <w:rPr>
                <w:b/>
                <w:bCs/>
              </w:rPr>
              <w:t>Serious</w:t>
            </w:r>
          </w:p>
        </w:tc>
        <w:tc>
          <w:tcPr>
            <w:tcW w:w="960" w:type="dxa"/>
            <w:vAlign w:val="center"/>
          </w:tcPr>
          <w:p w:rsidR="00FE25AB" w:rsidRDefault="00FE25AB">
            <w:pPr>
              <w:jc w:val="center"/>
            </w:pPr>
            <w:r>
              <w:t>2</w:t>
            </w:r>
          </w:p>
        </w:tc>
        <w:tc>
          <w:tcPr>
            <w:tcW w:w="960" w:type="dxa"/>
            <w:vAlign w:val="center"/>
          </w:tcPr>
          <w:p w:rsidR="00FE25AB" w:rsidRDefault="00FE25AB">
            <w:pPr>
              <w:jc w:val="center"/>
            </w:pPr>
            <w:r>
              <w:t>1</w:t>
            </w:r>
          </w:p>
        </w:tc>
        <w:tc>
          <w:tcPr>
            <w:tcW w:w="960" w:type="dxa"/>
            <w:noWrap/>
            <w:vAlign w:val="center"/>
          </w:tcPr>
          <w:p w:rsidR="00FE25AB" w:rsidRDefault="00FE25AB">
            <w:pPr>
              <w:jc w:val="center"/>
            </w:pPr>
            <w:r>
              <w:t>3</w:t>
            </w:r>
          </w:p>
        </w:tc>
      </w:tr>
      <w:tr w:rsidR="00FE25AB">
        <w:trPr>
          <w:trHeight w:val="320"/>
          <w:jc w:val="center"/>
        </w:trPr>
        <w:tc>
          <w:tcPr>
            <w:tcW w:w="960" w:type="dxa"/>
            <w:noWrap/>
            <w:vAlign w:val="center"/>
          </w:tcPr>
          <w:p w:rsidR="00FE25AB" w:rsidRDefault="00FE25AB">
            <w:pPr>
              <w:jc w:val="center"/>
              <w:rPr>
                <w:b/>
                <w:bCs/>
              </w:rPr>
            </w:pPr>
            <w:r>
              <w:rPr>
                <w:b/>
                <w:bCs/>
              </w:rPr>
              <w:t>Slight</w:t>
            </w:r>
          </w:p>
        </w:tc>
        <w:tc>
          <w:tcPr>
            <w:tcW w:w="960" w:type="dxa"/>
            <w:vAlign w:val="center"/>
          </w:tcPr>
          <w:p w:rsidR="00FE25AB" w:rsidRDefault="00FE25AB">
            <w:pPr>
              <w:jc w:val="center"/>
            </w:pPr>
            <w:r>
              <w:t>21</w:t>
            </w:r>
          </w:p>
        </w:tc>
        <w:tc>
          <w:tcPr>
            <w:tcW w:w="960" w:type="dxa"/>
            <w:vAlign w:val="center"/>
          </w:tcPr>
          <w:p w:rsidR="00FE25AB" w:rsidRDefault="00FE25AB">
            <w:pPr>
              <w:jc w:val="center"/>
            </w:pPr>
            <w:r>
              <w:t>10</w:t>
            </w:r>
          </w:p>
        </w:tc>
        <w:tc>
          <w:tcPr>
            <w:tcW w:w="960" w:type="dxa"/>
            <w:noWrap/>
            <w:vAlign w:val="center"/>
          </w:tcPr>
          <w:p w:rsidR="00FE25AB" w:rsidRDefault="00FE25AB">
            <w:pPr>
              <w:jc w:val="center"/>
            </w:pPr>
            <w:r>
              <w:t>31</w:t>
            </w:r>
          </w:p>
        </w:tc>
      </w:tr>
    </w:tbl>
    <w:p w:rsidR="00FE25AB" w:rsidRDefault="00FE25AB"/>
    <w:p w:rsidR="00FE25AB" w:rsidRDefault="00FE25AB">
      <w:r>
        <w:t xml:space="preserve">There are a number of scheme elements which are designed to make the pedestrian and cycling environment safer, specifically improved lighting and signalised crossing facilities for problem areas. </w:t>
      </w:r>
    </w:p>
    <w:p w:rsidR="00FE25AB" w:rsidRDefault="00FE25AB"/>
    <w:p w:rsidR="00FE25AB" w:rsidRDefault="00FE25AB">
      <w:r>
        <w:t>For cyclists the scheme includes ASLs at key junctions and a defined cycle link which will help to bridge the current gap in the national cycle highway (shown below);</w:t>
      </w:r>
    </w:p>
    <w:p w:rsidR="00FE25AB" w:rsidRDefault="00FE25AB">
      <w:pPr>
        <w:rPr>
          <w:color w:val="FF0000"/>
        </w:rPr>
      </w:pPr>
    </w:p>
    <w:p w:rsidR="00FE25AB" w:rsidRDefault="00FE25AB">
      <w:pPr>
        <w:rPr>
          <w:b/>
          <w:bCs/>
          <w:color w:val="000000"/>
        </w:rPr>
      </w:pPr>
      <w:r>
        <w:rPr>
          <w:b/>
          <w:bCs/>
          <w:color w:val="000000"/>
        </w:rPr>
        <w:t>Existing National Cycle Highway</w:t>
      </w:r>
    </w:p>
    <w:p w:rsidR="00FE25AB" w:rsidRDefault="00FE25AB">
      <w:pPr>
        <w:rPr>
          <w:color w:val="FF0000"/>
        </w:rPr>
      </w:pPr>
    </w:p>
    <w:p w:rsidR="00FE25AB" w:rsidRDefault="004D0481">
      <w:pPr>
        <w:rPr>
          <w:color w:val="FF0000"/>
        </w:rPr>
      </w:pPr>
      <w:r>
        <w:rPr>
          <w:noProof/>
          <w:lang w:eastAsia="en-GB"/>
        </w:rPr>
        <w:pict>
          <v:shape id="Picture 7" o:spid="_x0000_s1069" type="#_x0000_t75" style="position:absolute;left:0;text-align:left;margin-left:351.45pt;margin-top:1.25pt;width:89.25pt;height:119.55pt;z-index:-251690496;visibility:visible;mso-wrap-edited:f" wrapcoords="-182 0 -182 21464 21600 21464 21600 0 -182 0">
            <v:imagedata r:id="rId16" o:title="" croptop="13118f" cropbottom="35806f" cropleft="22023f" cropright="36005f"/>
            <w10:wrap type="tight"/>
          </v:shape>
        </w:pict>
      </w:r>
      <w:r>
        <w:rPr>
          <w:noProof/>
          <w:color w:val="FF0000"/>
          <w:lang w:eastAsia="en-GB"/>
        </w:rPr>
        <w:pict>
          <v:shape id="_x0000_i1028" type="#_x0000_t75" style="width:354pt;height:226.5pt;visibility:visible">
            <v:imagedata r:id="rId17" o:title="" croptop="13951f" cropbottom="20997f" cropleft="15801f" cropright="21879f"/>
          </v:shape>
        </w:pict>
      </w:r>
    </w:p>
    <w:p w:rsidR="00FE25AB" w:rsidRDefault="00FE25AB">
      <w:pPr>
        <w:rPr>
          <w:b/>
          <w:bCs/>
          <w:sz w:val="16"/>
          <w:szCs w:val="16"/>
        </w:rPr>
      </w:pPr>
      <w:r>
        <w:rPr>
          <w:b/>
          <w:bCs/>
          <w:sz w:val="16"/>
          <w:szCs w:val="16"/>
        </w:rPr>
        <w:t>Source: http://www.openstreetmap.org</w:t>
      </w:r>
    </w:p>
    <w:p w:rsidR="00FE25AB" w:rsidRDefault="00FE25AB"/>
    <w:p w:rsidR="00FE25AB" w:rsidRDefault="00FE25AB">
      <w:r>
        <w:t xml:space="preserve">The scheme as a whole is anticipated to increase the number of pedestrians and cyclists overall and </w:t>
      </w:r>
      <w:proofErr w:type="spellStart"/>
      <w:r>
        <w:t>WebTAG</w:t>
      </w:r>
      <w:proofErr w:type="spellEnd"/>
      <w:r>
        <w:t xml:space="preserve"> provides a formula which estimates the potential increase in accidents as a result of user, applying a power factor of 0.4 to the proportional increase. However, </w:t>
      </w:r>
      <w:proofErr w:type="spellStart"/>
      <w:r>
        <w:t>WebTAG</w:t>
      </w:r>
      <w:proofErr w:type="spellEnd"/>
      <w:r>
        <w:t xml:space="preserve"> states below the equation;</w:t>
      </w:r>
    </w:p>
    <w:p w:rsidR="00FE25AB" w:rsidRDefault="00FE25AB"/>
    <w:p w:rsidR="00FE25AB" w:rsidRDefault="00FE25AB">
      <w:pPr>
        <w:rPr>
          <w:i/>
          <w:iCs/>
        </w:rPr>
      </w:pPr>
      <w:r>
        <w:rPr>
          <w:i/>
          <w:iCs/>
        </w:rPr>
        <w:t>“2.3.27 Where facilities are being introduced which are expected to have a significant impact on the accident rate for cyclists and pedestrians; such mitigation is likely to have a more significant local impact than any increase in these modes.”</w:t>
      </w:r>
      <w:r>
        <w:rPr>
          <w:rStyle w:val="FootnoteReference"/>
          <w:rFonts w:ascii="Arial" w:hAnsi="Arial" w:cs="Arial"/>
          <w:i/>
          <w:iCs/>
        </w:rPr>
        <w:footnoteReference w:id="11"/>
      </w:r>
    </w:p>
    <w:p w:rsidR="00FE25AB" w:rsidRDefault="00FE25AB"/>
    <w:p w:rsidR="00FE25AB" w:rsidRDefault="00FE25AB">
      <w:r>
        <w:lastRenderedPageBreak/>
        <w:t xml:space="preserve">As the scheme includes elements specific towards improving cycling and pedestrian safety the above statement is considered applicable. In the absence of similar case studies, a 10% accident saving for these modes is considered a conservative value, which is used. </w:t>
      </w:r>
    </w:p>
    <w:p w:rsidR="00FE25AB" w:rsidRDefault="00FE25AB"/>
    <w:p w:rsidR="00FE25AB" w:rsidRDefault="00FE25AB">
      <w:r>
        <w:t xml:space="preserve">Average accident saving benefit values have been taken from the </w:t>
      </w:r>
      <w:proofErr w:type="spellStart"/>
      <w:r>
        <w:t>WebTAG</w:t>
      </w:r>
      <w:proofErr w:type="spellEnd"/>
      <w:r>
        <w:t xml:space="preserve"> guidance, specifically the COBALT spreadsheet tables, Nov 2014 release v1.3b. Which provide the costs per casualty as follows:</w:t>
      </w:r>
    </w:p>
    <w:p w:rsidR="00FE25AB" w:rsidRDefault="00FE25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383"/>
      </w:tblGrid>
      <w:tr w:rsidR="00FE25AB">
        <w:trPr>
          <w:trHeight w:val="330"/>
          <w:jc w:val="center"/>
        </w:trPr>
        <w:tc>
          <w:tcPr>
            <w:tcW w:w="4651" w:type="dxa"/>
            <w:gridSpan w:val="2"/>
            <w:shd w:val="clear" w:color="auto" w:fill="D9D9D9"/>
            <w:noWrap/>
          </w:tcPr>
          <w:p w:rsidR="00FE25AB" w:rsidRDefault="00FE25AB">
            <w:pPr>
              <w:ind w:left="0"/>
            </w:pPr>
            <w:r>
              <w:rPr>
                <w:b/>
                <w:bCs/>
              </w:rPr>
              <w:t>Cost per Casualty</w:t>
            </w:r>
          </w:p>
        </w:tc>
      </w:tr>
      <w:tr w:rsidR="00FE25AB">
        <w:trPr>
          <w:trHeight w:val="330"/>
          <w:jc w:val="center"/>
        </w:trPr>
        <w:tc>
          <w:tcPr>
            <w:tcW w:w="2268" w:type="dxa"/>
            <w:shd w:val="clear" w:color="auto" w:fill="D9D9D9"/>
            <w:noWrap/>
          </w:tcPr>
          <w:p w:rsidR="00FE25AB" w:rsidRDefault="00FE25AB">
            <w:pPr>
              <w:ind w:left="0"/>
              <w:rPr>
                <w:b/>
                <w:bCs/>
              </w:rPr>
            </w:pPr>
            <w:r>
              <w:rPr>
                <w:b/>
                <w:bCs/>
              </w:rPr>
              <w:t>Severity </w:t>
            </w:r>
          </w:p>
        </w:tc>
        <w:tc>
          <w:tcPr>
            <w:tcW w:w="2383" w:type="dxa"/>
            <w:shd w:val="clear" w:color="auto" w:fill="D9D9D9"/>
            <w:noWrap/>
          </w:tcPr>
          <w:p w:rsidR="00FE25AB" w:rsidRDefault="00FE25AB">
            <w:pPr>
              <w:ind w:left="0"/>
              <w:rPr>
                <w:b/>
                <w:bCs/>
              </w:rPr>
            </w:pPr>
            <w:r>
              <w:rPr>
                <w:b/>
                <w:bCs/>
              </w:rPr>
              <w:t>Cost £</w:t>
            </w:r>
          </w:p>
        </w:tc>
      </w:tr>
      <w:tr w:rsidR="00FE25AB">
        <w:trPr>
          <w:trHeight w:val="315"/>
          <w:jc w:val="center"/>
        </w:trPr>
        <w:tc>
          <w:tcPr>
            <w:tcW w:w="2268" w:type="dxa"/>
            <w:noWrap/>
          </w:tcPr>
          <w:p w:rsidR="00FE25AB" w:rsidRDefault="00FE25AB">
            <w:pPr>
              <w:ind w:left="0"/>
            </w:pPr>
            <w:r>
              <w:t>Fatal</w:t>
            </w:r>
          </w:p>
        </w:tc>
        <w:tc>
          <w:tcPr>
            <w:tcW w:w="2383" w:type="dxa"/>
            <w:noWrap/>
          </w:tcPr>
          <w:p w:rsidR="00FE25AB" w:rsidRDefault="00FE25AB">
            <w:pPr>
              <w:ind w:left="0"/>
            </w:pPr>
            <w:r>
              <w:t>1,640,134</w:t>
            </w:r>
          </w:p>
        </w:tc>
      </w:tr>
      <w:tr w:rsidR="00FE25AB">
        <w:trPr>
          <w:trHeight w:val="300"/>
          <w:jc w:val="center"/>
        </w:trPr>
        <w:tc>
          <w:tcPr>
            <w:tcW w:w="2268" w:type="dxa"/>
            <w:noWrap/>
          </w:tcPr>
          <w:p w:rsidR="00FE25AB" w:rsidRDefault="00FE25AB">
            <w:pPr>
              <w:ind w:left="0"/>
            </w:pPr>
            <w:r>
              <w:t>Serious</w:t>
            </w:r>
          </w:p>
        </w:tc>
        <w:tc>
          <w:tcPr>
            <w:tcW w:w="2383" w:type="dxa"/>
            <w:noWrap/>
          </w:tcPr>
          <w:p w:rsidR="00FE25AB" w:rsidRDefault="00FE25AB">
            <w:pPr>
              <w:ind w:left="0"/>
            </w:pPr>
            <w:r>
              <w:t>184,305</w:t>
            </w:r>
          </w:p>
        </w:tc>
      </w:tr>
      <w:tr w:rsidR="00FE25AB">
        <w:trPr>
          <w:trHeight w:val="315"/>
          <w:jc w:val="center"/>
        </w:trPr>
        <w:tc>
          <w:tcPr>
            <w:tcW w:w="2268" w:type="dxa"/>
            <w:noWrap/>
          </w:tcPr>
          <w:p w:rsidR="00FE25AB" w:rsidRDefault="00FE25AB">
            <w:pPr>
              <w:ind w:left="0"/>
            </w:pPr>
            <w:r>
              <w:t>Slight </w:t>
            </w:r>
          </w:p>
        </w:tc>
        <w:tc>
          <w:tcPr>
            <w:tcW w:w="2383" w:type="dxa"/>
            <w:noWrap/>
          </w:tcPr>
          <w:p w:rsidR="00FE25AB" w:rsidRDefault="00FE25AB">
            <w:pPr>
              <w:ind w:left="0"/>
            </w:pPr>
            <w:r>
              <w:t>14,208</w:t>
            </w:r>
          </w:p>
        </w:tc>
      </w:tr>
    </w:tbl>
    <w:p w:rsidR="00FE25AB" w:rsidRDefault="00FE25AB"/>
    <w:p w:rsidR="00FE25AB" w:rsidRDefault="00FE25AB">
      <w:r>
        <w:t>The accident benefits have been annualised over a 60 year period and discounted as described above to determine the net accident saving benefits.</w:t>
      </w:r>
    </w:p>
    <w:p w:rsidR="00FE25AB" w:rsidRDefault="00FE25AB">
      <w:pPr>
        <w:ind w:left="0"/>
        <w:rPr>
          <w:color w:val="FF0000"/>
        </w:rPr>
      </w:pPr>
    </w:p>
    <w:p w:rsidR="00FE25AB" w:rsidRDefault="00FE25AB">
      <w:pPr>
        <w:pStyle w:val="Subsection"/>
        <w:rPr>
          <w:i/>
          <w:iCs/>
          <w:color w:val="000000"/>
        </w:rPr>
      </w:pPr>
      <w:r>
        <w:rPr>
          <w:i/>
          <w:iCs/>
          <w:color w:val="000000"/>
        </w:rPr>
        <w:t>3.2.5</w:t>
      </w:r>
      <w:r>
        <w:rPr>
          <w:i/>
          <w:iCs/>
          <w:color w:val="000000"/>
        </w:rPr>
        <w:tab/>
        <w:t>Additional Non Quantified Travel Benefits</w:t>
      </w:r>
    </w:p>
    <w:p w:rsidR="00FE25AB" w:rsidRDefault="00FE25AB">
      <w:pPr>
        <w:ind w:left="0"/>
        <w:rPr>
          <w:color w:val="FF0000"/>
        </w:rPr>
      </w:pPr>
    </w:p>
    <w:p w:rsidR="00FE25AB" w:rsidRDefault="00FE25AB">
      <w:r>
        <w:t>The benefit calculation described above is considered a conservative total as not all benefits have been monetised. Other non quantified benefits include;</w:t>
      </w:r>
    </w:p>
    <w:p w:rsidR="00FE25AB" w:rsidRDefault="00FE25AB"/>
    <w:p w:rsidR="00FE25AB" w:rsidRDefault="00FE25AB">
      <w:pPr>
        <w:pStyle w:val="NoSpacing"/>
      </w:pPr>
      <w:r>
        <w:t xml:space="preserve">Bus user delay savings – </w:t>
      </w:r>
      <w:r>
        <w:rPr>
          <w:b w:val="0"/>
          <w:bCs w:val="0"/>
        </w:rPr>
        <w:t>conditional priority for buses at junctions means that late buses are given priority and early buses are not. This scheme is a method of operational control that improves service quality by keeping buses on schedule. It achieves a strong improvement in schedule adherence compared with a no-priority situation. Conditional bus priority has been shown to have almost no impact on traffic delays</w:t>
      </w:r>
      <w:r>
        <w:rPr>
          <w:rStyle w:val="FootnoteReference"/>
          <w:rFonts w:ascii="Arial" w:hAnsi="Arial" w:cs="Arial"/>
          <w:b w:val="0"/>
          <w:bCs w:val="0"/>
          <w:sz w:val="14"/>
          <w:szCs w:val="14"/>
          <w:vertAlign w:val="baseline"/>
        </w:rPr>
        <w:footnoteReference w:id="12"/>
      </w:r>
      <w:r>
        <w:rPr>
          <w:b w:val="0"/>
          <w:bCs w:val="0"/>
          <w:sz w:val="14"/>
          <w:szCs w:val="14"/>
        </w:rPr>
        <w:t>.</w:t>
      </w:r>
      <w:r>
        <w:rPr>
          <w:b w:val="0"/>
          <w:bCs w:val="0"/>
        </w:rPr>
        <w:t xml:space="preserve"> Delay savings have been calculated on a vehicle basis and do not include bus users, who represent a significant number of commuters. To maintain the simplicity and transparency of the analysis, specific bus passenger delay savings have not been included.</w:t>
      </w:r>
    </w:p>
    <w:p w:rsidR="00FE25AB" w:rsidRDefault="00FE25AB">
      <w:pPr>
        <w:pStyle w:val="NoSpacing"/>
      </w:pPr>
      <w:r>
        <w:t xml:space="preserve">Bus real time information – </w:t>
      </w:r>
      <w:r>
        <w:rPr>
          <w:b w:val="0"/>
          <w:bCs w:val="0"/>
        </w:rPr>
        <w:t>up-to-date RTI will enable more efficient service management and provide users to reduce unproductive waiting time. In the absence of waiting time and delay data, such a benefit is not easily quantified, though Passenger Focus user surveys suggest that this is an area where there is scope for improvement.</w:t>
      </w:r>
    </w:p>
    <w:p w:rsidR="00FE25AB" w:rsidRDefault="00FE25AB">
      <w:pPr>
        <w:pStyle w:val="NoSpacing"/>
        <w:rPr>
          <w:b w:val="0"/>
          <w:bCs w:val="0"/>
        </w:rPr>
      </w:pPr>
      <w:r>
        <w:t xml:space="preserve">Bus stop improvements – </w:t>
      </w:r>
      <w:r>
        <w:rPr>
          <w:b w:val="0"/>
          <w:bCs w:val="0"/>
        </w:rPr>
        <w:t>the scheme includes provisions for bus stop improvements, including a bus / rail station interchange. Such improvements would reduce the waiting cost parameters and be expected to increase bus numbers. However, additional data analysis is required for such benefit estimation.</w:t>
      </w:r>
    </w:p>
    <w:p w:rsidR="00FE25AB" w:rsidRDefault="00FE25AB">
      <w:pPr>
        <w:pStyle w:val="NoSpacing"/>
      </w:pPr>
      <w:proofErr w:type="spellStart"/>
      <w:r>
        <w:t>Strood</w:t>
      </w:r>
      <w:proofErr w:type="spellEnd"/>
      <w:r>
        <w:t xml:space="preserve"> train station user benefits – </w:t>
      </w:r>
      <w:r>
        <w:rPr>
          <w:b w:val="0"/>
          <w:bCs w:val="0"/>
        </w:rPr>
        <w:t xml:space="preserve">the scheme includes provision for improvements to </w:t>
      </w:r>
      <w:proofErr w:type="spellStart"/>
      <w:r>
        <w:rPr>
          <w:b w:val="0"/>
          <w:bCs w:val="0"/>
        </w:rPr>
        <w:t>Strood</w:t>
      </w:r>
      <w:proofErr w:type="spellEnd"/>
      <w:r>
        <w:rPr>
          <w:b w:val="0"/>
          <w:bCs w:val="0"/>
        </w:rPr>
        <w:t xml:space="preserve"> train station. It is anticipated that users of the station would experience waiting cost benefits and there would likely be a positive shift in the proportion of commuters using train. 2011 census data shows approximately 7.4% of commuters in </w:t>
      </w:r>
      <w:proofErr w:type="spellStart"/>
      <w:r>
        <w:rPr>
          <w:b w:val="0"/>
          <w:bCs w:val="0"/>
        </w:rPr>
        <w:t>Strood</w:t>
      </w:r>
      <w:proofErr w:type="spellEnd"/>
      <w:r>
        <w:rPr>
          <w:b w:val="0"/>
          <w:bCs w:val="0"/>
        </w:rPr>
        <w:t xml:space="preserve"> travel by train, compared to the Medway average of 9.4% and neighbouring Rochester value of 11.9%.</w:t>
      </w:r>
      <w:r>
        <w:t xml:space="preserve">   </w:t>
      </w:r>
    </w:p>
    <w:p w:rsidR="00FE25AB" w:rsidRDefault="00FE25AB">
      <w:pPr>
        <w:pStyle w:val="NoSpacing"/>
      </w:pPr>
      <w:r>
        <w:t>Non-work pedestrian and cyclist health benefits –</w:t>
      </w:r>
      <w:r>
        <w:rPr>
          <w:b w:val="0"/>
          <w:bCs w:val="0"/>
        </w:rPr>
        <w:t xml:space="preserve"> currently health benefits have been applied to Census based pedestrian and cyclist numbers. It would be expected </w:t>
      </w:r>
      <w:r>
        <w:rPr>
          <w:b w:val="0"/>
          <w:bCs w:val="0"/>
        </w:rPr>
        <w:lastRenderedPageBreak/>
        <w:t>that non work travellers would also benefit, estimates of these numbers may be possible for inclusion, but have been omitted here for simplicity and transparency.</w:t>
      </w:r>
    </w:p>
    <w:p w:rsidR="00FE25AB" w:rsidRDefault="00FE25AB">
      <w:pPr>
        <w:pStyle w:val="NoSpacing"/>
      </w:pPr>
      <w:r>
        <w:t xml:space="preserve">Ambiance – </w:t>
      </w:r>
      <w:r>
        <w:rPr>
          <w:b w:val="0"/>
          <w:bCs w:val="0"/>
        </w:rPr>
        <w:t>Case studies for urban centre cycle schemes suggest that approximately 15% of benefits on average arise from ambiance improvements</w:t>
      </w:r>
      <w:r>
        <w:rPr>
          <w:rStyle w:val="FootnoteReference"/>
          <w:rFonts w:ascii="Arial" w:hAnsi="Arial" w:cs="Arial"/>
          <w:b w:val="0"/>
          <w:bCs w:val="0"/>
        </w:rPr>
        <w:footnoteReference w:id="13"/>
      </w:r>
      <w:r>
        <w:rPr>
          <w:b w:val="0"/>
          <w:bCs w:val="0"/>
        </w:rPr>
        <w:t>.The scheme includes a number of elements which are targeted towards improved lighting, safety, the perception of safety, ease of navigation and attractiveness / comfort of the local environment. As such, a similar proportion would be realistically expected for the walking and cycling related scheme elements, but has not been included within this benefit calculation total for simplicity and transparency.</w:t>
      </w:r>
    </w:p>
    <w:p w:rsidR="00FE25AB" w:rsidRDefault="00FE25AB">
      <w:pPr>
        <w:pStyle w:val="NoSpacing"/>
      </w:pPr>
      <w:r>
        <w:t xml:space="preserve">Noise and Air Quality – </w:t>
      </w:r>
      <w:r>
        <w:rPr>
          <w:b w:val="0"/>
          <w:bCs w:val="0"/>
        </w:rPr>
        <w:t>These aspects have not been quantified, but the scheme would be expected to have a positive impact overall.</w:t>
      </w:r>
    </w:p>
    <w:p w:rsidR="00FE25AB" w:rsidRDefault="00FE25AB">
      <w:pPr>
        <w:rPr>
          <w:color w:val="FF0000"/>
        </w:rPr>
      </w:pPr>
    </w:p>
    <w:p w:rsidR="00FE25AB" w:rsidRDefault="00FE25AB">
      <w:pPr>
        <w:pStyle w:val="Subsection"/>
      </w:pPr>
      <w:r>
        <w:t>3.3</w:t>
      </w:r>
      <w:r>
        <w:tab/>
        <w:t>Summary of Impact Appraisal</w:t>
      </w:r>
    </w:p>
    <w:p w:rsidR="00FE25AB" w:rsidRDefault="00FE25AB">
      <w:pPr>
        <w:rPr>
          <w:color w:val="E36C0A"/>
        </w:rPr>
      </w:pPr>
    </w:p>
    <w:p w:rsidR="00FE25AB" w:rsidRDefault="00FE25AB">
      <w:pPr>
        <w:ind w:left="0"/>
        <w:rPr>
          <w:b/>
          <w:bCs/>
          <w:i/>
          <w:iCs/>
        </w:rPr>
      </w:pPr>
      <w:r>
        <w:rPr>
          <w:b/>
          <w:bCs/>
          <w:i/>
          <w:iCs/>
        </w:rPr>
        <w:t>3.3.1</w:t>
      </w:r>
      <w:r>
        <w:rPr>
          <w:b/>
          <w:bCs/>
          <w:i/>
          <w:iCs/>
        </w:rPr>
        <w:tab/>
        <w:t>Revenue</w:t>
      </w:r>
    </w:p>
    <w:p w:rsidR="00FE25AB" w:rsidRDefault="00FE25AB"/>
    <w:p w:rsidR="00FE25AB" w:rsidRDefault="00FE25AB">
      <w:r>
        <w:t xml:space="preserve">Census data shows that </w:t>
      </w:r>
      <w:proofErr w:type="spellStart"/>
      <w:r>
        <w:t>Strood</w:t>
      </w:r>
      <w:proofErr w:type="spellEnd"/>
      <w:r>
        <w:t xml:space="preserve"> bus patronage levels as a proportion of overall traffic is similar to that of Medway as a whole. The scheme is expected to have a positive impact in terms of bus patronage, but in the absence of a multi-modal model, the quantitative impact is difficult to forecast. The bus stop and route improvement components of the scheme would be expected to have a benefit to existing users as discussed above by making it more attractive, some increase in patronage would be expected. </w:t>
      </w:r>
    </w:p>
    <w:p w:rsidR="00FE25AB" w:rsidRDefault="00FE25AB"/>
    <w:p w:rsidR="00FE25AB" w:rsidRDefault="00FE25AB">
      <w:pPr>
        <w:pStyle w:val="ListParagraph"/>
        <w:spacing w:after="0" w:line="240" w:lineRule="auto"/>
        <w:rPr>
          <w:rFonts w:ascii="Arial" w:hAnsi="Arial" w:cs="Arial"/>
        </w:rPr>
      </w:pPr>
      <w:r>
        <w:rPr>
          <w:rFonts w:ascii="Arial" w:hAnsi="Arial" w:cs="Arial"/>
        </w:rPr>
        <w:t xml:space="preserve">A conservative assumption has been adopted in treating bus revenue change as being neutral overall. This being the case, calculations relating to revenue forecast (including derivation, fares growth, implied yield, public/private allocations and operator response) are not applicable, as the demand change multiplier is zero. </w:t>
      </w:r>
    </w:p>
    <w:p w:rsidR="00FE25AB" w:rsidRDefault="00FE25AB">
      <w:pPr>
        <w:tabs>
          <w:tab w:val="left" w:pos="3885"/>
        </w:tabs>
      </w:pPr>
    </w:p>
    <w:p w:rsidR="00FE25AB" w:rsidRDefault="00FE25AB">
      <w:pPr>
        <w:rPr>
          <w:color w:val="E36C0A"/>
        </w:rPr>
      </w:pPr>
      <w:r>
        <w:t>Improvements to the train station would be expected to have a positive impact in terms of passenger numbers and revenue. However, given the absence of a suitable model, a conservative assumption has again been adopted in assuming a neutral impact.</w:t>
      </w:r>
    </w:p>
    <w:p w:rsidR="00FE25AB" w:rsidRDefault="00FE25AB">
      <w:pPr>
        <w:pStyle w:val="Subsection"/>
      </w:pPr>
    </w:p>
    <w:p w:rsidR="00FE25AB" w:rsidRDefault="00FE25AB">
      <w:pPr>
        <w:pStyle w:val="Subsection"/>
        <w:rPr>
          <w:i/>
          <w:iCs/>
        </w:rPr>
      </w:pPr>
      <w:r>
        <w:rPr>
          <w:i/>
          <w:iCs/>
        </w:rPr>
        <w:t>3.3.2</w:t>
      </w:r>
      <w:r>
        <w:rPr>
          <w:i/>
          <w:iCs/>
        </w:rPr>
        <w:tab/>
        <w:t>Scheme Cost and Funding</w:t>
      </w:r>
    </w:p>
    <w:p w:rsidR="00FE25AB" w:rsidRDefault="00FE25AB"/>
    <w:p w:rsidR="00FE25AB" w:rsidRDefault="00FE25AB">
      <w:r>
        <w:t xml:space="preserve">Scheme costs have been provided by Medway Council for the analysis. A total of £9.0m has been assumed for the works outlined. Further to this value, optimism bias has been added at a rate of 44%, and costs converted to market prices using a fixed multiplier of 1.19 and to a 2010 price base using the GDP deflator. </w:t>
      </w:r>
    </w:p>
    <w:p w:rsidR="00FE25AB" w:rsidRDefault="00FE25AB">
      <w:pPr>
        <w:tabs>
          <w:tab w:val="left" w:pos="3900"/>
        </w:tabs>
      </w:pPr>
      <w:r>
        <w:tab/>
      </w:r>
    </w:p>
    <w:p w:rsidR="00FE25AB" w:rsidRDefault="00FE25AB">
      <w:pPr>
        <w:pStyle w:val="ListParagraph"/>
        <w:spacing w:after="0" w:line="240" w:lineRule="auto"/>
        <w:rPr>
          <w:rFonts w:ascii="Arial" w:hAnsi="Arial" w:cs="Arial"/>
        </w:rPr>
      </w:pPr>
      <w:r>
        <w:rPr>
          <w:rFonts w:ascii="Arial" w:hAnsi="Arial" w:cs="Arial"/>
        </w:rPr>
        <w:t>An annual maintenance and renewal  cost of £33,000 (2010 prices) has been assumed to be required over the 60 year assessment period (see Section 4.2.2); this includes assumed maintenance during early years, though such maintenance requirements would be expected to be limited in reality. Maintenance costs have been assumed to increase over time using the GDP deflator parameters. Since there is an existing UTMC system operating within the area no additional operating costs have been assumed.</w:t>
      </w:r>
    </w:p>
    <w:p w:rsidR="00FE25AB" w:rsidRDefault="00FE25AB"/>
    <w:p w:rsidR="00FE25AB" w:rsidRDefault="00FE25AB">
      <w:pPr>
        <w:pStyle w:val="Subsection"/>
        <w:rPr>
          <w:i/>
          <w:iCs/>
        </w:rPr>
      </w:pPr>
      <w:r>
        <w:rPr>
          <w:i/>
          <w:iCs/>
        </w:rPr>
        <w:t>3.3.3</w:t>
      </w:r>
      <w:r>
        <w:rPr>
          <w:i/>
          <w:iCs/>
        </w:rPr>
        <w:tab/>
        <w:t>Transport Benefits Appraisal</w:t>
      </w:r>
    </w:p>
    <w:p w:rsidR="00FE25AB" w:rsidRDefault="00FE25AB"/>
    <w:p w:rsidR="00FE25AB" w:rsidRDefault="00FE25AB">
      <w:r>
        <w:t>The results of the analysis are presented in the following:</w:t>
      </w:r>
    </w:p>
    <w:p w:rsidR="00FE25AB" w:rsidRDefault="00FE25AB">
      <w:pPr>
        <w:pStyle w:val="ListParagraph"/>
        <w:numPr>
          <w:ilvl w:val="0"/>
          <w:numId w:val="15"/>
        </w:numPr>
        <w:spacing w:after="0" w:line="264" w:lineRule="auto"/>
        <w:jc w:val="both"/>
        <w:rPr>
          <w:rFonts w:ascii="Arial" w:hAnsi="Arial" w:cs="Arial"/>
        </w:rPr>
      </w:pPr>
      <w:r>
        <w:rPr>
          <w:rFonts w:ascii="Arial" w:hAnsi="Arial" w:cs="Arial"/>
          <w:b/>
          <w:bCs/>
        </w:rPr>
        <w:t xml:space="preserve">Table 3c - </w:t>
      </w:r>
      <w:r>
        <w:rPr>
          <w:rFonts w:ascii="Arial" w:hAnsi="Arial" w:cs="Arial"/>
        </w:rPr>
        <w:t>Transport Economics Efficiency Table (TEE)</w:t>
      </w:r>
    </w:p>
    <w:p w:rsidR="00FE25AB" w:rsidRDefault="00FE25AB">
      <w:pPr>
        <w:pStyle w:val="ListParagraph"/>
        <w:numPr>
          <w:ilvl w:val="0"/>
          <w:numId w:val="15"/>
        </w:numPr>
        <w:spacing w:after="0" w:line="264" w:lineRule="auto"/>
        <w:jc w:val="both"/>
        <w:rPr>
          <w:rFonts w:ascii="Arial" w:hAnsi="Arial" w:cs="Arial"/>
        </w:rPr>
      </w:pPr>
      <w:r>
        <w:rPr>
          <w:rFonts w:ascii="Arial" w:hAnsi="Arial" w:cs="Arial"/>
          <w:b/>
          <w:bCs/>
        </w:rPr>
        <w:t>Table 3d</w:t>
      </w:r>
      <w:r>
        <w:rPr>
          <w:rFonts w:ascii="Arial" w:hAnsi="Arial" w:cs="Arial"/>
        </w:rPr>
        <w:t xml:space="preserve"> - Analysis of Monetised Costs and Benefits Table (AMCB)</w:t>
      </w:r>
    </w:p>
    <w:p w:rsidR="00FE25AB" w:rsidRDefault="00FE25AB"/>
    <w:p w:rsidR="00FE25AB" w:rsidRDefault="00FE25AB">
      <w:pPr>
        <w:rPr>
          <w:b/>
          <w:bCs/>
        </w:rPr>
      </w:pPr>
      <w:r>
        <w:rPr>
          <w:b/>
          <w:bCs/>
        </w:rPr>
        <w:lastRenderedPageBreak/>
        <w:t xml:space="preserve">Table 3c – Transport Economics Efficiency </w:t>
      </w:r>
    </w:p>
    <w:p w:rsidR="00FE25AB" w:rsidRDefault="00FE25AB">
      <w:pPr>
        <w:rPr>
          <w:b/>
          <w:bCs/>
        </w:rPr>
      </w:pPr>
    </w:p>
    <w:p w:rsidR="00FE25AB" w:rsidRDefault="004D0481">
      <w:pPr>
        <w:rPr>
          <w:b/>
          <w:bCs/>
        </w:rPr>
      </w:pPr>
      <w:r>
        <w:rPr>
          <w:b/>
          <w:bCs/>
          <w:noProof/>
          <w:lang w:eastAsia="en-GB"/>
        </w:rPr>
        <w:pict>
          <v:shape id="Picture 12" o:spid="_x0000_i1029" type="#_x0000_t75" style="width:624pt;height:577.5pt;visibility:visible">
            <v:imagedata r:id="rId18" o:title=""/>
          </v:shape>
        </w:pict>
      </w:r>
    </w:p>
    <w:p w:rsidR="00FE25AB" w:rsidRDefault="00FE25AB">
      <w:pPr>
        <w:rPr>
          <w:b/>
          <w:bCs/>
        </w:rPr>
      </w:pPr>
    </w:p>
    <w:p w:rsidR="00FE25AB" w:rsidRDefault="00FE25AB">
      <w:pPr>
        <w:rPr>
          <w:b/>
          <w:bCs/>
        </w:rPr>
      </w:pPr>
    </w:p>
    <w:p w:rsidR="00FE25AB" w:rsidRDefault="00FE25AB">
      <w:pPr>
        <w:rPr>
          <w:b/>
          <w:bCs/>
        </w:rPr>
      </w:pPr>
    </w:p>
    <w:p w:rsidR="00FE25AB" w:rsidRDefault="00FE25AB">
      <w:pPr>
        <w:rPr>
          <w:b/>
          <w:bCs/>
        </w:rPr>
      </w:pPr>
    </w:p>
    <w:p w:rsidR="00FE25AB" w:rsidRDefault="00FE25AB">
      <w:pPr>
        <w:ind w:left="0"/>
        <w:rPr>
          <w:b/>
          <w:bCs/>
        </w:rPr>
      </w:pPr>
      <w:r>
        <w:rPr>
          <w:b/>
          <w:bCs/>
        </w:rPr>
        <w:br w:type="page"/>
      </w:r>
    </w:p>
    <w:p w:rsidR="00FE25AB" w:rsidRDefault="00FE25AB">
      <w:pPr>
        <w:rPr>
          <w:b/>
          <w:bCs/>
        </w:rPr>
      </w:pPr>
      <w:r>
        <w:rPr>
          <w:b/>
          <w:bCs/>
        </w:rPr>
        <w:t>Table 3d - Monetised Costs and Benefits</w:t>
      </w:r>
    </w:p>
    <w:p w:rsidR="00FE25AB" w:rsidRDefault="00FE25AB"/>
    <w:p w:rsidR="00FE25AB" w:rsidRDefault="004D0481">
      <w:r>
        <w:rPr>
          <w:noProof/>
          <w:lang w:eastAsia="en-GB"/>
        </w:rPr>
        <w:pict>
          <v:shape id="Picture 11" o:spid="_x0000_i1030" type="#_x0000_t75" style="width:627pt;height:513.75pt;visibility:visible" o:bordertopcolor="black" o:borderleftcolor="black" o:borderbottomcolor="black" o:borderrightcolor="black">
            <v:imagedata r:id="rId19" o:title=""/>
            <w10:bordertop type="single" width="2"/>
            <w10:borderleft type="single" width="2"/>
            <w10:borderbottom type="single" width="2"/>
            <w10:borderright type="single" width="2"/>
          </v:shape>
        </w:pict>
      </w:r>
    </w:p>
    <w:p w:rsidR="00FE25AB" w:rsidRDefault="00FE25AB"/>
    <w:p w:rsidR="00FE25AB" w:rsidRDefault="00FE25AB">
      <w:pPr>
        <w:pStyle w:val="BodyTextIndent3"/>
        <w:rPr>
          <w:b w:val="0"/>
          <w:bCs w:val="0"/>
          <w:u w:val="single"/>
        </w:rPr>
      </w:pPr>
      <w:r>
        <w:rPr>
          <w:b w:val="0"/>
          <w:bCs w:val="0"/>
          <w:u w:val="single"/>
        </w:rPr>
        <w:t xml:space="preserve">Table 3d (AMCB Table) demonstrates that the scheme assessed returns a benefit cost ratio </w:t>
      </w:r>
      <w:r>
        <w:rPr>
          <w:u w:val="single"/>
        </w:rPr>
        <w:t>(BCR) of 2.1</w:t>
      </w:r>
      <w:r>
        <w:rPr>
          <w:b w:val="0"/>
          <w:bCs w:val="0"/>
          <w:u w:val="single"/>
        </w:rPr>
        <w:t xml:space="preserve">. </w:t>
      </w:r>
    </w:p>
    <w:p w:rsidR="00FE25AB" w:rsidRDefault="00FE25AB">
      <w:pPr>
        <w:pStyle w:val="BodyTextIndent3"/>
        <w:rPr>
          <w:b w:val="0"/>
          <w:bCs w:val="0"/>
          <w:u w:val="single"/>
        </w:rPr>
      </w:pPr>
    </w:p>
    <w:p w:rsidR="00FE25AB" w:rsidRDefault="00FE25AB">
      <w:pPr>
        <w:pStyle w:val="ListParagraph"/>
        <w:spacing w:after="0" w:line="240" w:lineRule="auto"/>
        <w:rPr>
          <w:rFonts w:ascii="Arial" w:hAnsi="Arial" w:cs="Arial"/>
        </w:rPr>
      </w:pPr>
      <w:r>
        <w:rPr>
          <w:rFonts w:ascii="Arial" w:hAnsi="Arial" w:cs="Arial"/>
        </w:rPr>
        <w:t>The BCR value for the project falls within the High Value for Money band. As indicated in the sections above, benefit levels have been assumed at the lower ends of potential ranges in each case, hence we consider the BCR of 2.1 to be a lower bound estimate of the potential conclusion were more detailed modelling to be carried out.</w:t>
      </w:r>
    </w:p>
    <w:p w:rsidR="00FE25AB" w:rsidRDefault="00FE25AB"/>
    <w:p w:rsidR="00FE25AB" w:rsidRDefault="00FE25AB">
      <w:r>
        <w:lastRenderedPageBreak/>
        <w:t xml:space="preserve">The main contributions to the benefits are derived from the delay savings resulting from the traffic management which return a benefit of £16.6m (69% of total benefit) over the 60 year assessment period (as per </w:t>
      </w:r>
      <w:proofErr w:type="spellStart"/>
      <w:r>
        <w:t>WebTAG</w:t>
      </w:r>
      <w:proofErr w:type="spellEnd"/>
      <w:r>
        <w:t xml:space="preserve"> guidance).</w:t>
      </w:r>
    </w:p>
    <w:p w:rsidR="00FE25AB" w:rsidRDefault="00FE25AB"/>
    <w:p w:rsidR="00FE25AB" w:rsidRDefault="00FE25AB">
      <w:r>
        <w:t xml:space="preserve">The analysis of health impacts produces a total benefit of £5.7m (24% of total benefit) over a 30 year analysis period (as per </w:t>
      </w:r>
      <w:proofErr w:type="spellStart"/>
      <w:r>
        <w:t>WebTAG</w:t>
      </w:r>
      <w:proofErr w:type="spellEnd"/>
      <w:r>
        <w:t xml:space="preserve"> guidance).</w:t>
      </w:r>
    </w:p>
    <w:p w:rsidR="00FE25AB" w:rsidRDefault="00FE25AB"/>
    <w:p w:rsidR="00FE25AB" w:rsidRDefault="00FE25AB">
      <w:r>
        <w:t xml:space="preserve">The accident related savings return a benefit of £1.6m (7% of total benefit) over the 60 year assessment period (as per </w:t>
      </w:r>
      <w:proofErr w:type="spellStart"/>
      <w:r>
        <w:t>WebTAG</w:t>
      </w:r>
      <w:proofErr w:type="spellEnd"/>
      <w:r>
        <w:t xml:space="preserve"> guidance)</w:t>
      </w:r>
    </w:p>
    <w:p w:rsidR="00FE25AB" w:rsidRDefault="00FE25AB"/>
    <w:p w:rsidR="00FE25AB" w:rsidRDefault="00FE25AB">
      <w:pPr>
        <w:rPr>
          <w:b/>
          <w:bCs/>
        </w:rPr>
      </w:pPr>
    </w:p>
    <w:p w:rsidR="00FE25AB" w:rsidRDefault="00FE25AB">
      <w:pPr>
        <w:ind w:left="0"/>
        <w:rPr>
          <w:b/>
          <w:bCs/>
          <w:i/>
          <w:iCs/>
        </w:rPr>
      </w:pPr>
      <w:r>
        <w:rPr>
          <w:b/>
          <w:bCs/>
          <w:i/>
          <w:iCs/>
        </w:rPr>
        <w:t>3.3.4</w:t>
      </w:r>
      <w:r>
        <w:rPr>
          <w:b/>
          <w:bCs/>
          <w:i/>
          <w:iCs/>
        </w:rPr>
        <w:tab/>
        <w:t>Gross Value Added</w:t>
      </w:r>
    </w:p>
    <w:p w:rsidR="00FE25AB" w:rsidRDefault="00FE25AB">
      <w:pPr>
        <w:rPr>
          <w:b/>
          <w:bCs/>
        </w:rPr>
      </w:pPr>
    </w:p>
    <w:p w:rsidR="00FE25AB" w:rsidRDefault="00FE25AB">
      <w:r>
        <w:t>GVA has not been included within the economic appraisal. However, one of the primary targets of the scheme is to enhance the perception of the area for development, and a number of public realm improvements are included within the programme. GVA impacts of development are calculated for the local economy. These are not additional values, but represent the value to the local Medway economy of the interventions.</w:t>
      </w:r>
    </w:p>
    <w:p w:rsidR="00FE25AB" w:rsidRDefault="00FE25AB"/>
    <w:p w:rsidR="00FE25AB" w:rsidRDefault="00FE25AB">
      <w:pPr>
        <w:rPr>
          <w:lang w:val="en-US"/>
        </w:rPr>
      </w:pPr>
      <w:r>
        <w:rPr>
          <w:lang w:val="en-US"/>
        </w:rPr>
        <w:t>The project will significantly contribute to the delivery of the following growth sites:</w:t>
      </w:r>
    </w:p>
    <w:p w:rsidR="00FE25AB" w:rsidRDefault="00FE25AB">
      <w:pPr>
        <w:numPr>
          <w:ilvl w:val="0"/>
          <w:numId w:val="7"/>
        </w:numPr>
        <w:rPr>
          <w:rFonts w:ascii="GillSans" w:hAnsi="GillSans" w:cs="GillSans"/>
        </w:rPr>
      </w:pPr>
      <w:proofErr w:type="spellStart"/>
      <w:r>
        <w:rPr>
          <w:rFonts w:ascii="GillSans" w:hAnsi="GillSans" w:cs="GillSans"/>
        </w:rPr>
        <w:t>Strood</w:t>
      </w:r>
      <w:proofErr w:type="spellEnd"/>
      <w:r>
        <w:rPr>
          <w:rFonts w:ascii="GillSans" w:hAnsi="GillSans" w:cs="GillSans"/>
        </w:rPr>
        <w:t xml:space="preserve"> Riverside – delivering 600 homes. Status: Adopted development brief, site owned by Medway Council, planning consent granted for river wall adjacent to the site to reduce flooding risk;</w:t>
      </w:r>
    </w:p>
    <w:p w:rsidR="00FE25AB" w:rsidRDefault="00FE25AB">
      <w:pPr>
        <w:numPr>
          <w:ilvl w:val="0"/>
          <w:numId w:val="7"/>
        </w:numPr>
        <w:rPr>
          <w:rFonts w:ascii="GillSans" w:hAnsi="GillSans" w:cs="GillSans"/>
        </w:rPr>
      </w:pPr>
      <w:r>
        <w:rPr>
          <w:rFonts w:ascii="GillSans" w:hAnsi="GillSans" w:cs="GillSans"/>
        </w:rPr>
        <w:t xml:space="preserve">Former Civic Centre site, </w:t>
      </w:r>
      <w:proofErr w:type="spellStart"/>
      <w:r>
        <w:rPr>
          <w:rFonts w:ascii="GillSans" w:hAnsi="GillSans" w:cs="GillSans"/>
        </w:rPr>
        <w:t>Strood</w:t>
      </w:r>
      <w:proofErr w:type="spellEnd"/>
      <w:r>
        <w:rPr>
          <w:rFonts w:ascii="GillSans" w:hAnsi="GillSans" w:cs="GillSans"/>
        </w:rPr>
        <w:t xml:space="preserve"> – delivering 600 homes. Status: Site owned by Medway Council, site being vacated by Medway Council by 2016;</w:t>
      </w:r>
    </w:p>
    <w:p w:rsidR="00FE25AB" w:rsidRDefault="00FE25AB">
      <w:pPr>
        <w:numPr>
          <w:ilvl w:val="0"/>
          <w:numId w:val="7"/>
        </w:numPr>
        <w:rPr>
          <w:rFonts w:ascii="GillSans" w:hAnsi="GillSans" w:cs="GillSans"/>
        </w:rPr>
      </w:pPr>
      <w:r>
        <w:rPr>
          <w:rFonts w:ascii="GillSans" w:hAnsi="GillSans" w:cs="GillSans"/>
        </w:rPr>
        <w:t>Rochester Riverside – delivering 1,500 homes (over a 15 year period) and 300 jobs. Status: Site owned by Medway Council, planning consent granted and phased development under construction;</w:t>
      </w:r>
    </w:p>
    <w:p w:rsidR="00FE25AB" w:rsidRDefault="00FE25AB">
      <w:pPr>
        <w:numPr>
          <w:ilvl w:val="0"/>
          <w:numId w:val="7"/>
        </w:numPr>
        <w:rPr>
          <w:rFonts w:ascii="GillSans" w:hAnsi="GillSans" w:cs="GillSans"/>
        </w:rPr>
      </w:pPr>
      <w:r>
        <w:rPr>
          <w:rFonts w:ascii="GillSans" w:hAnsi="GillSans" w:cs="GillSans"/>
        </w:rPr>
        <w:t xml:space="preserve">Former Alloy Wheels site, </w:t>
      </w:r>
      <w:proofErr w:type="spellStart"/>
      <w:r>
        <w:rPr>
          <w:rFonts w:ascii="GillSans" w:hAnsi="GillSans" w:cs="GillSans"/>
        </w:rPr>
        <w:t>Strood</w:t>
      </w:r>
      <w:proofErr w:type="spellEnd"/>
      <w:r>
        <w:rPr>
          <w:rFonts w:ascii="GillSans" w:hAnsi="GillSans" w:cs="GillSans"/>
        </w:rPr>
        <w:t xml:space="preserve"> – 4 ha site delivering between 550 to 715 FTE jobs across B1, B2 and B8 uses. Status: planning consent granted, site vacant and being marketed.</w:t>
      </w:r>
    </w:p>
    <w:p w:rsidR="00FE25AB" w:rsidRDefault="00FE25AB"/>
    <w:p w:rsidR="00FE25AB" w:rsidRDefault="00FE25AB">
      <w:r>
        <w:t>Medway Council have estimated that there is development potential for 1,820 new jobs and 3,260 new houses within the immediate area of the scheme and that this project will contribute in the region of 20-25% to enabling these jobs and houses, thus the scheme would enable 360-450 jobs and 650 to 815 houses</w:t>
      </w:r>
    </w:p>
    <w:p w:rsidR="00FE25AB" w:rsidRDefault="00FE25AB"/>
    <w:p w:rsidR="00FE25AB" w:rsidRDefault="00FE25AB">
      <w:r>
        <w:t>The current average house price in Medway is £198,000 (Apr – Jun 2013) (</w:t>
      </w:r>
      <w:hyperlink r:id="rId20" w:anchor="table" w:history="1">
        <w:r>
          <w:rPr>
            <w:rStyle w:val="Hyperlink"/>
            <w:rFonts w:ascii="Arial" w:hAnsi="Arial" w:cs="Arial"/>
          </w:rPr>
          <w:t>http://news.bbc.co.uk/2/shared/spl/hi/in_depth/uk_house_prices/regions/html/region9.stm?se#table</w:t>
        </w:r>
      </w:hyperlink>
      <w:r>
        <w:t>)   The estimated impact therefore of the improvement programme on GVA is estimated at £126-158m.</w:t>
      </w:r>
    </w:p>
    <w:p w:rsidR="00FE25AB" w:rsidRDefault="00FE25AB"/>
    <w:p w:rsidR="00FE25AB" w:rsidRDefault="00FE25AB">
      <w:r>
        <w:t xml:space="preserve">The current average salary in Medway is £26,260 (2013) </w:t>
      </w:r>
      <w:hyperlink r:id="rId21" w:history="1">
        <w:r>
          <w:rPr>
            <w:rStyle w:val="Hyperlink"/>
            <w:rFonts w:ascii="Arial" w:hAnsi="Arial" w:cs="Arial"/>
          </w:rPr>
          <w:t>http://www.neighbourhood.statistics.gov.uk/</w:t>
        </w:r>
      </w:hyperlink>
      <w:r>
        <w:t>), thus the additional impact of 360-450 jobs would be £9.5 – 11.8 million per annum.</w:t>
      </w:r>
    </w:p>
    <w:p w:rsidR="00FE25AB" w:rsidRDefault="00FE25AB">
      <w:pPr>
        <w:pStyle w:val="Subsection"/>
      </w:pPr>
    </w:p>
    <w:p w:rsidR="00FE25AB" w:rsidRDefault="00FE25AB">
      <w:pPr>
        <w:ind w:left="0"/>
        <w:rPr>
          <w:b/>
          <w:bCs/>
          <w:i/>
          <w:iCs/>
        </w:rPr>
      </w:pPr>
      <w:r>
        <w:rPr>
          <w:b/>
          <w:bCs/>
          <w:i/>
          <w:iCs/>
        </w:rPr>
        <w:t>3.3.5</w:t>
      </w:r>
      <w:r>
        <w:rPr>
          <w:b/>
          <w:bCs/>
          <w:i/>
          <w:iCs/>
        </w:rPr>
        <w:tab/>
        <w:t>Monitoring and Evaluation &amp; Benefits Realisation</w:t>
      </w:r>
    </w:p>
    <w:p w:rsidR="00FE25AB" w:rsidRDefault="00FE25AB">
      <w:pPr>
        <w:rPr>
          <w:b/>
          <w:bCs/>
        </w:rPr>
      </w:pPr>
    </w:p>
    <w:p w:rsidR="00FE25AB" w:rsidRDefault="00FE25AB">
      <w:r>
        <w:t xml:space="preserve">Section 6.3 describes the proposed KPIs and monitoring plan that will be adopted to determine whether the benefits of this scheme will be realised. It is proposed that annual walking and cycling counts be conducted prior and post scheme implementation (1 and 5 years after) and traffic counts, bus usage and rail usage data collected for the same periods. </w:t>
      </w:r>
    </w:p>
    <w:p w:rsidR="00FE25AB" w:rsidRDefault="00FE25AB"/>
    <w:p w:rsidR="00FE25AB" w:rsidRDefault="00FE25AB">
      <w:r>
        <w:lastRenderedPageBreak/>
        <w:t>These counts will be aligned with the scheme objectives and outcomes set out in Table 2a and 6d. Changes in demand will be used to estimate network-wide changes in relative modal usage.</w:t>
      </w:r>
    </w:p>
    <w:p w:rsidR="00FE25AB" w:rsidRDefault="00FE25AB">
      <w:pPr>
        <w:rPr>
          <w:color w:val="E36C0A"/>
        </w:rPr>
      </w:pPr>
    </w:p>
    <w:p w:rsidR="00FE25AB" w:rsidRDefault="00FE25AB">
      <w:pPr>
        <w:pStyle w:val="ListParagraph"/>
        <w:spacing w:after="0" w:line="240" w:lineRule="auto"/>
        <w:rPr>
          <w:rFonts w:ascii="Arial" w:hAnsi="Arial" w:cs="Arial"/>
        </w:rPr>
      </w:pPr>
      <w:r>
        <w:rPr>
          <w:rFonts w:ascii="Arial" w:hAnsi="Arial" w:cs="Arial"/>
        </w:rPr>
        <w:t xml:space="preserve">This data will be used to validate the outturn benefit generators for quantified aspects of the scheme. Routine bus and rail passenger surveys will also be used to assess the qualitative amenity aspects related to bus and train stop and station improvements. </w:t>
      </w:r>
    </w:p>
    <w:p w:rsidR="00FE25AB" w:rsidRDefault="00FE25AB">
      <w:pPr>
        <w:ind w:left="0"/>
        <w:rPr>
          <w:b/>
          <w:bCs/>
          <w:color w:val="E36C0A"/>
        </w:rPr>
      </w:pPr>
    </w:p>
    <w:p w:rsidR="00FE25AB" w:rsidRDefault="00FE25AB">
      <w:pPr>
        <w:ind w:left="0"/>
        <w:rPr>
          <w:b/>
          <w:bCs/>
          <w:i/>
          <w:iCs/>
        </w:rPr>
      </w:pPr>
      <w:r>
        <w:rPr>
          <w:b/>
          <w:bCs/>
          <w:i/>
          <w:iCs/>
        </w:rPr>
        <w:t>3.3.6</w:t>
      </w:r>
      <w:r>
        <w:rPr>
          <w:b/>
          <w:bCs/>
          <w:i/>
          <w:iCs/>
        </w:rPr>
        <w:tab/>
        <w:t>Sunk costs</w:t>
      </w:r>
    </w:p>
    <w:p w:rsidR="00FE25AB" w:rsidRDefault="00FE25AB">
      <w:pPr>
        <w:ind w:left="0"/>
      </w:pPr>
    </w:p>
    <w:p w:rsidR="00FE25AB" w:rsidRDefault="00FE25AB">
      <w:r>
        <w:t>Sunk costs are generally written off as part of the day to day business of the transport planning responsibilities of Medway Council. However, costs associated with the preparation of the Outline Business Case will be charged to the project, which amount to approximately £20,000.</w:t>
      </w:r>
    </w:p>
    <w:p w:rsidR="00FE25AB" w:rsidRDefault="00FE25AB">
      <w:pPr>
        <w:ind w:left="0"/>
      </w:pPr>
    </w:p>
    <w:p w:rsidR="00FE25AB" w:rsidRDefault="00FE25AB">
      <w:pPr>
        <w:ind w:left="0"/>
        <w:rPr>
          <w:b/>
          <w:bCs/>
          <w:i/>
          <w:iCs/>
        </w:rPr>
      </w:pPr>
      <w:r>
        <w:rPr>
          <w:b/>
          <w:bCs/>
          <w:i/>
          <w:iCs/>
        </w:rPr>
        <w:t>3.3.7</w:t>
      </w:r>
      <w:r>
        <w:rPr>
          <w:b/>
          <w:bCs/>
          <w:i/>
          <w:iCs/>
        </w:rPr>
        <w:tab/>
        <w:t>Local contribution</w:t>
      </w:r>
    </w:p>
    <w:p w:rsidR="00FE25AB" w:rsidRDefault="00FE25AB"/>
    <w:p w:rsidR="00FE25AB" w:rsidRDefault="00FE25AB">
      <w:r>
        <w:t xml:space="preserve">The local contribution of £2.5m relates to anticipated S106 funds secured through the development of major regeneration sites in </w:t>
      </w:r>
      <w:proofErr w:type="spellStart"/>
      <w:r>
        <w:t>Strood</w:t>
      </w:r>
      <w:proofErr w:type="spellEnd"/>
      <w:r>
        <w:t>, including:</w:t>
      </w:r>
    </w:p>
    <w:p w:rsidR="00FE25AB" w:rsidRDefault="00FE25AB"/>
    <w:p w:rsidR="00FE25AB" w:rsidRDefault="00FE25AB">
      <w:pPr>
        <w:pStyle w:val="ListParagraph"/>
        <w:numPr>
          <w:ilvl w:val="0"/>
          <w:numId w:val="22"/>
        </w:numPr>
        <w:rPr>
          <w:rFonts w:ascii="Arial" w:hAnsi="Arial" w:cs="Arial"/>
        </w:rPr>
      </w:pPr>
      <w:proofErr w:type="spellStart"/>
      <w:r>
        <w:rPr>
          <w:rFonts w:ascii="Arial" w:hAnsi="Arial" w:cs="Arial"/>
        </w:rPr>
        <w:t>Strood</w:t>
      </w:r>
      <w:proofErr w:type="spellEnd"/>
      <w:r>
        <w:rPr>
          <w:rFonts w:ascii="Arial" w:hAnsi="Arial" w:cs="Arial"/>
        </w:rPr>
        <w:t xml:space="preserve"> Riverside – delivering 600 homes. Status: Adopted development brief, site owned by Medway Council, planning consent granted for river wall adjacent to the site to reduce flooding risk;</w:t>
      </w:r>
    </w:p>
    <w:p w:rsidR="00FE25AB" w:rsidRDefault="00FE25AB">
      <w:pPr>
        <w:pStyle w:val="ListParagraph"/>
        <w:numPr>
          <w:ilvl w:val="0"/>
          <w:numId w:val="22"/>
        </w:numPr>
        <w:rPr>
          <w:rFonts w:ascii="Arial" w:hAnsi="Arial" w:cs="Arial"/>
        </w:rPr>
      </w:pPr>
      <w:r>
        <w:rPr>
          <w:rFonts w:ascii="Arial" w:hAnsi="Arial" w:cs="Arial"/>
        </w:rPr>
        <w:t xml:space="preserve">Former Civic Centre site, </w:t>
      </w:r>
      <w:proofErr w:type="spellStart"/>
      <w:r>
        <w:rPr>
          <w:rFonts w:ascii="Arial" w:hAnsi="Arial" w:cs="Arial"/>
        </w:rPr>
        <w:t>Strood</w:t>
      </w:r>
      <w:proofErr w:type="spellEnd"/>
      <w:r>
        <w:rPr>
          <w:rFonts w:ascii="Arial" w:hAnsi="Arial" w:cs="Arial"/>
        </w:rPr>
        <w:t xml:space="preserve"> – delivering 600 homes. Status: Site owned by Medway Council, site being vacated by Medway Council by 2016;</w:t>
      </w:r>
    </w:p>
    <w:p w:rsidR="00FE25AB" w:rsidRDefault="00FE25AB">
      <w:pPr>
        <w:pStyle w:val="ListParagraph"/>
        <w:numPr>
          <w:ilvl w:val="0"/>
          <w:numId w:val="22"/>
        </w:numPr>
        <w:rPr>
          <w:rFonts w:ascii="Arial" w:hAnsi="Arial" w:cs="Arial"/>
        </w:rPr>
      </w:pPr>
      <w:r>
        <w:rPr>
          <w:rFonts w:ascii="Arial" w:hAnsi="Arial" w:cs="Arial"/>
        </w:rPr>
        <w:t xml:space="preserve">Former Alloy Wheels site, </w:t>
      </w:r>
      <w:proofErr w:type="spellStart"/>
      <w:r>
        <w:rPr>
          <w:rFonts w:ascii="Arial" w:hAnsi="Arial" w:cs="Arial"/>
        </w:rPr>
        <w:t>Strood</w:t>
      </w:r>
      <w:proofErr w:type="spellEnd"/>
      <w:r>
        <w:rPr>
          <w:rFonts w:ascii="Arial" w:hAnsi="Arial" w:cs="Arial"/>
        </w:rPr>
        <w:t xml:space="preserve"> – 4 ha site delivering between 550 to 715 FTE jobs across B1, B2 and B8 uses. Status: planning consent granted, site vacant and being marketed.</w:t>
      </w:r>
    </w:p>
    <w:p w:rsidR="00FE25AB" w:rsidRDefault="00FE25AB">
      <w:r>
        <w:t xml:space="preserve">Other funding of £1.25m has been secured from Network Rail, which represents a 50% contribution to the reconstruction cost of </w:t>
      </w:r>
      <w:proofErr w:type="spellStart"/>
      <w:r>
        <w:t>Strood</w:t>
      </w:r>
      <w:proofErr w:type="spellEnd"/>
      <w:r>
        <w:t xml:space="preserve"> station.</w:t>
      </w:r>
    </w:p>
    <w:p w:rsidR="00FE25AB" w:rsidRDefault="00FE25AB"/>
    <w:p w:rsidR="00FE25AB" w:rsidRDefault="00FE25AB">
      <w:pPr>
        <w:rPr>
          <w:color w:val="E36C0A"/>
        </w:rPr>
      </w:pPr>
    </w:p>
    <w:p w:rsidR="00FE25AB" w:rsidRDefault="00FE25AB">
      <w:pPr>
        <w:ind w:left="0"/>
        <w:rPr>
          <w:b/>
          <w:bCs/>
          <w:sz w:val="24"/>
          <w:szCs w:val="24"/>
        </w:rPr>
      </w:pPr>
      <w:r>
        <w:br w:type="page"/>
      </w:r>
    </w:p>
    <w:p w:rsidR="00FE25AB" w:rsidRDefault="00FE25AB">
      <w:pPr>
        <w:pStyle w:val="SectionHeading"/>
      </w:pPr>
      <w:r>
        <w:t>4.0</w:t>
      </w:r>
      <w:r>
        <w:tab/>
        <w:t>The Financial Case</w:t>
      </w:r>
    </w:p>
    <w:p w:rsidR="00FE25AB" w:rsidRDefault="00FE25AB"/>
    <w:p w:rsidR="00FE25AB" w:rsidRDefault="00FE25AB">
      <w:r>
        <w:t xml:space="preserve">This section describes the approach to assess the affordability of the scheme. The current estimate of project cost is provided along with a profile broken down by financial year for the period of the fund. </w:t>
      </w:r>
    </w:p>
    <w:p w:rsidR="00FE25AB" w:rsidRDefault="00FE25AB"/>
    <w:p w:rsidR="00FE25AB" w:rsidRDefault="00FE25AB">
      <w:r>
        <w:t xml:space="preserve">The financial case described in this section is for scheme Option F, as described in Section 1 and 2 of this document.  </w:t>
      </w:r>
    </w:p>
    <w:p w:rsidR="00FE25AB" w:rsidRDefault="00FE25AB">
      <w:pPr>
        <w:pStyle w:val="SectionHeading"/>
      </w:pPr>
    </w:p>
    <w:p w:rsidR="00FE25AB" w:rsidRDefault="00FE25AB">
      <w:pPr>
        <w:pStyle w:val="Subsection"/>
      </w:pPr>
      <w:r>
        <w:t>4.1</w:t>
      </w:r>
      <w:r>
        <w:tab/>
        <w:t>Overview of Affordability Assessment</w:t>
      </w:r>
    </w:p>
    <w:p w:rsidR="00FE25AB" w:rsidRDefault="00FE25AB">
      <w:pPr>
        <w:rPr>
          <w:spacing w:val="25"/>
        </w:rPr>
      </w:pPr>
    </w:p>
    <w:p w:rsidR="00FE25AB" w:rsidRDefault="00FE25AB">
      <w:r>
        <w:t xml:space="preserve">In September 2012 the </w:t>
      </w:r>
      <w:proofErr w:type="spellStart"/>
      <w:r>
        <w:t>DfT</w:t>
      </w:r>
      <w:proofErr w:type="spellEnd"/>
      <w:r>
        <w:t xml:space="preserve"> set out firm proposals for the devolution of funding for local major transport schemes from 2015 from a national pot of £2bn. The Government's response further confirmed the commitment to delegate funding decisions and negotiate a Growth Deal with every Local Transport Body (LTB) in order to deliver local growth and infrastructure priorities.</w:t>
      </w:r>
    </w:p>
    <w:p w:rsidR="00FE25AB" w:rsidRDefault="00FE25AB"/>
    <w:p w:rsidR="00FE25AB" w:rsidRDefault="00FE25AB">
      <w:r>
        <w:t xml:space="preserve">Medway Council has already put together a package of schemes as part of the Local Enterprise Partnership’s LGF bid and a total of £68.1million has been granted to the Kent and Medway federated area for projects that will commence in 2015/16. Of this, £28.6million was allocated for five successful Medway schemes, including £9m for a </w:t>
      </w:r>
      <w:proofErr w:type="spellStart"/>
      <w:r>
        <w:t>Strood</w:t>
      </w:r>
      <w:proofErr w:type="spellEnd"/>
      <w:r>
        <w:t xml:space="preserve"> town centre scheme.</w:t>
      </w:r>
    </w:p>
    <w:p w:rsidR="00FE25AB" w:rsidRDefault="00FE25AB"/>
    <w:p w:rsidR="00FE25AB" w:rsidRDefault="00FE25AB">
      <w:r>
        <w:t xml:space="preserve">The </w:t>
      </w:r>
      <w:proofErr w:type="spellStart"/>
      <w:r>
        <w:t>Strood</w:t>
      </w:r>
      <w:proofErr w:type="spellEnd"/>
      <w:r>
        <w:t xml:space="preserve"> town centre proposals are a strong fit to both local and national policy relating to roads investment and growth. Funding is available through the LGF and has been provisionally allocated to this project. </w:t>
      </w:r>
    </w:p>
    <w:p w:rsidR="00FE25AB" w:rsidRDefault="00FE25AB">
      <w:pPr>
        <w:pStyle w:val="Subsection"/>
        <w:rPr>
          <w:color w:val="131311"/>
          <w:w w:val="105"/>
          <w:sz w:val="20"/>
          <w:szCs w:val="20"/>
        </w:rPr>
      </w:pPr>
    </w:p>
    <w:p w:rsidR="00FE25AB" w:rsidRDefault="00FE25AB">
      <w:pPr>
        <w:pStyle w:val="Subsection"/>
      </w:pPr>
      <w:r>
        <w:t>4.2</w:t>
      </w:r>
      <w:r>
        <w:tab/>
        <w:t>Project Costs</w:t>
      </w:r>
    </w:p>
    <w:p w:rsidR="00FE25AB" w:rsidRDefault="00FE25AB">
      <w:pPr>
        <w:pStyle w:val="Subsection"/>
      </w:pPr>
    </w:p>
    <w:p w:rsidR="00FE25AB" w:rsidRDefault="00FE25AB">
      <w:pPr>
        <w:pStyle w:val="Subsection"/>
        <w:rPr>
          <w:i/>
          <w:iCs/>
        </w:rPr>
      </w:pPr>
      <w:r>
        <w:rPr>
          <w:i/>
          <w:iCs/>
        </w:rPr>
        <w:t>4.2.1</w:t>
      </w:r>
      <w:r>
        <w:rPr>
          <w:i/>
          <w:iCs/>
        </w:rPr>
        <w:tab/>
        <w:t>Capital Expenditure</w:t>
      </w:r>
    </w:p>
    <w:p w:rsidR="00FE25AB" w:rsidRDefault="00FE25AB"/>
    <w:p w:rsidR="00FE25AB" w:rsidRDefault="00FE25AB">
      <w:r>
        <w:t xml:space="preserve">The costs for the scheme are set out in Table 4a below. The cost estimate includes preparatory costs associated with preliminary and detailed scheme design, and scheme construction. </w:t>
      </w:r>
    </w:p>
    <w:p w:rsidR="00FE25AB" w:rsidRDefault="00FE25AB"/>
    <w:p w:rsidR="00FE25AB" w:rsidRDefault="00FE25AB">
      <w:r>
        <w:t xml:space="preserve">A scheme risk budget of 30% is included within the cost estimates to broadly reflect design costs and risk, construction  risk, employer change risk and employer other risks. </w:t>
      </w:r>
    </w:p>
    <w:p w:rsidR="00FE25AB" w:rsidRDefault="00FE25AB"/>
    <w:p w:rsidR="00FE25AB" w:rsidRDefault="00FE25AB">
      <w:r>
        <w:t xml:space="preserve">An Optimism Bias adjustment of 44% has been applied (as advised in </w:t>
      </w:r>
      <w:proofErr w:type="spellStart"/>
      <w:r>
        <w:t>WebTAG</w:t>
      </w:r>
      <w:proofErr w:type="spellEnd"/>
      <w:r>
        <w:t xml:space="preserve"> Unit A1-2). The cost rates are assumed to reflect current day prices (4th Quarter 2014). Tender Inflation, Construction Inflation and VAT are excluded and the estimate produced at this stage is assumed to have an accuracy level of -20% to +30%.</w:t>
      </w:r>
    </w:p>
    <w:p w:rsidR="00FE25AB" w:rsidRDefault="00FE25AB"/>
    <w:p w:rsidR="00FE25AB" w:rsidRDefault="00FE25AB">
      <w:r>
        <w:t>Cost estimates are based on knowledge, understanding and experience of the quantum of costs required to deliver the various measures proposed. They will be refined based on detailed design studies. The level of optimism bias and risks will be reviewed and refined to reflect more detailed work and improved levels of confidence with regard to scheme cost.</w:t>
      </w:r>
    </w:p>
    <w:p w:rsidR="00FE25AB" w:rsidRDefault="00FE25AB">
      <w:pPr>
        <w:rPr>
          <w:b/>
          <w:bCs/>
        </w:rPr>
      </w:pPr>
    </w:p>
    <w:p w:rsidR="00FE25AB" w:rsidRDefault="00FE25AB">
      <w:pPr>
        <w:rPr>
          <w:b/>
          <w:bCs/>
        </w:rPr>
      </w:pPr>
    </w:p>
    <w:p w:rsidR="00FE25AB" w:rsidRDefault="00FE25AB">
      <w:pPr>
        <w:rPr>
          <w:b/>
          <w:bCs/>
        </w:rPr>
      </w:pPr>
    </w:p>
    <w:p w:rsidR="00FE25AB" w:rsidRDefault="00FE25AB">
      <w:pPr>
        <w:rPr>
          <w:b/>
          <w:bCs/>
        </w:rPr>
      </w:pPr>
    </w:p>
    <w:p w:rsidR="00FE25AB" w:rsidRDefault="00FE25AB">
      <w:pPr>
        <w:rPr>
          <w:b/>
          <w:bCs/>
        </w:rPr>
      </w:pPr>
    </w:p>
    <w:p w:rsidR="00FE25AB" w:rsidRDefault="00FE25AB">
      <w:pPr>
        <w:rPr>
          <w:b/>
          <w:bCs/>
        </w:rPr>
      </w:pPr>
    </w:p>
    <w:p w:rsidR="00FE25AB" w:rsidRDefault="00FE25AB">
      <w:pPr>
        <w:rPr>
          <w:b/>
          <w:bCs/>
        </w:rPr>
      </w:pPr>
    </w:p>
    <w:p w:rsidR="00FE25AB" w:rsidRDefault="00FE25AB">
      <w:pPr>
        <w:rPr>
          <w:b/>
          <w:bCs/>
        </w:rPr>
      </w:pPr>
      <w:r>
        <w:rPr>
          <w:b/>
          <w:bCs/>
        </w:rPr>
        <w:t xml:space="preserve">Table 4a - Scheme Costs </w:t>
      </w:r>
    </w:p>
    <w:p w:rsidR="00FE25AB" w:rsidRDefault="00FE25AB">
      <w:pPr>
        <w:pStyle w:val="Subsection"/>
      </w:pPr>
      <w:r>
        <w:tab/>
        <w:t xml:space="preserve"> </w:t>
      </w: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4465"/>
        <w:gridCol w:w="1696"/>
        <w:gridCol w:w="1696"/>
      </w:tblGrid>
      <w:tr w:rsidR="00FE25AB">
        <w:trPr>
          <w:trHeight w:val="690"/>
          <w:jc w:val="right"/>
        </w:trPr>
        <w:tc>
          <w:tcPr>
            <w:tcW w:w="790" w:type="dxa"/>
            <w:shd w:val="clear" w:color="auto" w:fill="D9D9D9"/>
            <w:vAlign w:val="center"/>
          </w:tcPr>
          <w:p w:rsidR="00FE25AB" w:rsidRDefault="00FE25AB">
            <w:pPr>
              <w:ind w:left="0"/>
              <w:rPr>
                <w:b/>
                <w:bCs/>
                <w:sz w:val="18"/>
                <w:szCs w:val="18"/>
              </w:rPr>
            </w:pPr>
            <w:r>
              <w:rPr>
                <w:b/>
                <w:bCs/>
                <w:sz w:val="18"/>
                <w:szCs w:val="18"/>
              </w:rPr>
              <w:t>Works Ref.</w:t>
            </w:r>
          </w:p>
        </w:tc>
        <w:tc>
          <w:tcPr>
            <w:tcW w:w="4465" w:type="dxa"/>
            <w:shd w:val="clear" w:color="auto" w:fill="D9D9D9"/>
            <w:vAlign w:val="center"/>
          </w:tcPr>
          <w:p w:rsidR="00FE25AB" w:rsidRDefault="00FE25AB">
            <w:pPr>
              <w:ind w:left="0"/>
              <w:rPr>
                <w:b/>
                <w:bCs/>
                <w:sz w:val="18"/>
                <w:szCs w:val="18"/>
              </w:rPr>
            </w:pPr>
            <w:r>
              <w:rPr>
                <w:b/>
                <w:bCs/>
                <w:sz w:val="18"/>
                <w:szCs w:val="18"/>
              </w:rPr>
              <w:t>Description</w:t>
            </w:r>
          </w:p>
        </w:tc>
        <w:tc>
          <w:tcPr>
            <w:tcW w:w="1696" w:type="dxa"/>
            <w:shd w:val="clear" w:color="auto" w:fill="D9D9D9"/>
            <w:vAlign w:val="center"/>
          </w:tcPr>
          <w:p w:rsidR="00FE25AB" w:rsidRDefault="00FE25AB">
            <w:pPr>
              <w:ind w:left="0"/>
              <w:jc w:val="center"/>
              <w:rPr>
                <w:b/>
                <w:bCs/>
                <w:sz w:val="18"/>
                <w:szCs w:val="18"/>
              </w:rPr>
            </w:pPr>
            <w:r>
              <w:rPr>
                <w:b/>
                <w:bCs/>
                <w:sz w:val="18"/>
                <w:szCs w:val="18"/>
              </w:rPr>
              <w:t>Estimated construction costs (£)</w:t>
            </w:r>
          </w:p>
        </w:tc>
        <w:tc>
          <w:tcPr>
            <w:tcW w:w="1696" w:type="dxa"/>
            <w:shd w:val="clear" w:color="auto" w:fill="D9D9D9"/>
            <w:vAlign w:val="center"/>
          </w:tcPr>
          <w:p w:rsidR="00FE25AB" w:rsidRDefault="00FE25AB">
            <w:pPr>
              <w:ind w:left="0"/>
              <w:jc w:val="center"/>
              <w:rPr>
                <w:b/>
                <w:bCs/>
                <w:sz w:val="18"/>
                <w:szCs w:val="18"/>
              </w:rPr>
            </w:pPr>
            <w:r>
              <w:rPr>
                <w:b/>
                <w:bCs/>
                <w:sz w:val="18"/>
                <w:szCs w:val="18"/>
              </w:rPr>
              <w:t>Plus 30% uplift design and contingency (£)</w:t>
            </w:r>
          </w:p>
        </w:tc>
      </w:tr>
      <w:tr w:rsidR="00FE25AB">
        <w:trPr>
          <w:trHeight w:val="288"/>
          <w:jc w:val="right"/>
        </w:trPr>
        <w:tc>
          <w:tcPr>
            <w:tcW w:w="790" w:type="dxa"/>
            <w:vAlign w:val="center"/>
          </w:tcPr>
          <w:p w:rsidR="00FE25AB" w:rsidRDefault="00FE25AB">
            <w:pPr>
              <w:ind w:left="0"/>
              <w:rPr>
                <w:sz w:val="20"/>
                <w:szCs w:val="20"/>
              </w:rPr>
            </w:pPr>
            <w:r>
              <w:rPr>
                <w:sz w:val="20"/>
                <w:szCs w:val="20"/>
              </w:rPr>
              <w:t>TA</w:t>
            </w:r>
          </w:p>
        </w:tc>
        <w:tc>
          <w:tcPr>
            <w:tcW w:w="4465" w:type="dxa"/>
            <w:vAlign w:val="center"/>
          </w:tcPr>
          <w:p w:rsidR="00FE25AB" w:rsidRDefault="00FE25AB">
            <w:pPr>
              <w:ind w:left="0"/>
              <w:rPr>
                <w:sz w:val="20"/>
                <w:szCs w:val="20"/>
              </w:rPr>
            </w:pPr>
            <w:r>
              <w:rPr>
                <w:sz w:val="20"/>
                <w:szCs w:val="20"/>
              </w:rPr>
              <w:t>Works - Town Centre traffic management</w:t>
            </w:r>
          </w:p>
        </w:tc>
        <w:tc>
          <w:tcPr>
            <w:tcW w:w="1696" w:type="dxa"/>
            <w:vAlign w:val="center"/>
          </w:tcPr>
          <w:p w:rsidR="00FE25AB" w:rsidRDefault="00FE25AB">
            <w:pPr>
              <w:ind w:left="0"/>
              <w:jc w:val="center"/>
              <w:rPr>
                <w:sz w:val="20"/>
                <w:szCs w:val="20"/>
              </w:rPr>
            </w:pPr>
            <w:r>
              <w:rPr>
                <w:sz w:val="20"/>
                <w:szCs w:val="20"/>
              </w:rPr>
              <w:t>2,384,000</w:t>
            </w:r>
          </w:p>
        </w:tc>
        <w:tc>
          <w:tcPr>
            <w:tcW w:w="1696" w:type="dxa"/>
            <w:vAlign w:val="center"/>
          </w:tcPr>
          <w:p w:rsidR="00FE25AB" w:rsidRDefault="00FE25AB">
            <w:pPr>
              <w:ind w:left="0"/>
              <w:jc w:val="center"/>
              <w:rPr>
                <w:sz w:val="20"/>
                <w:szCs w:val="20"/>
              </w:rPr>
            </w:pPr>
            <w:r>
              <w:rPr>
                <w:sz w:val="20"/>
                <w:szCs w:val="20"/>
              </w:rPr>
              <w:t>£3,099,200</w:t>
            </w:r>
          </w:p>
        </w:tc>
      </w:tr>
      <w:tr w:rsidR="00FE25AB">
        <w:trPr>
          <w:trHeight w:val="288"/>
          <w:jc w:val="right"/>
        </w:trPr>
        <w:tc>
          <w:tcPr>
            <w:tcW w:w="790" w:type="dxa"/>
            <w:vAlign w:val="center"/>
          </w:tcPr>
          <w:p w:rsidR="00FE25AB" w:rsidRDefault="00FE25AB">
            <w:pPr>
              <w:ind w:left="0"/>
              <w:rPr>
                <w:sz w:val="20"/>
                <w:szCs w:val="20"/>
              </w:rPr>
            </w:pPr>
            <w:r>
              <w:rPr>
                <w:sz w:val="20"/>
                <w:szCs w:val="20"/>
              </w:rPr>
              <w:t>PA</w:t>
            </w:r>
          </w:p>
        </w:tc>
        <w:tc>
          <w:tcPr>
            <w:tcW w:w="4465" w:type="dxa"/>
            <w:vAlign w:val="center"/>
          </w:tcPr>
          <w:p w:rsidR="00FE25AB" w:rsidRDefault="00FE25AB">
            <w:pPr>
              <w:ind w:left="0"/>
              <w:rPr>
                <w:sz w:val="20"/>
                <w:szCs w:val="20"/>
              </w:rPr>
            </w:pPr>
            <w:r>
              <w:rPr>
                <w:sz w:val="20"/>
                <w:szCs w:val="20"/>
              </w:rPr>
              <w:t xml:space="preserve">Works - Pedestrian accessibility </w:t>
            </w:r>
          </w:p>
        </w:tc>
        <w:tc>
          <w:tcPr>
            <w:tcW w:w="1696" w:type="dxa"/>
            <w:vAlign w:val="center"/>
          </w:tcPr>
          <w:p w:rsidR="00FE25AB" w:rsidRDefault="00FE25AB">
            <w:pPr>
              <w:ind w:left="0"/>
              <w:jc w:val="center"/>
              <w:rPr>
                <w:sz w:val="20"/>
                <w:szCs w:val="20"/>
              </w:rPr>
            </w:pPr>
            <w:r>
              <w:rPr>
                <w:sz w:val="20"/>
                <w:szCs w:val="20"/>
              </w:rPr>
              <w:t>822,600</w:t>
            </w:r>
          </w:p>
        </w:tc>
        <w:tc>
          <w:tcPr>
            <w:tcW w:w="1696" w:type="dxa"/>
            <w:vAlign w:val="center"/>
          </w:tcPr>
          <w:p w:rsidR="00FE25AB" w:rsidRDefault="00FE25AB">
            <w:pPr>
              <w:ind w:left="0"/>
              <w:jc w:val="center"/>
              <w:rPr>
                <w:sz w:val="20"/>
                <w:szCs w:val="20"/>
              </w:rPr>
            </w:pPr>
            <w:r>
              <w:rPr>
                <w:sz w:val="20"/>
                <w:szCs w:val="20"/>
              </w:rPr>
              <w:t>£1,069,380</w:t>
            </w:r>
          </w:p>
        </w:tc>
      </w:tr>
      <w:tr w:rsidR="00FE25AB">
        <w:trPr>
          <w:trHeight w:val="288"/>
          <w:jc w:val="right"/>
        </w:trPr>
        <w:tc>
          <w:tcPr>
            <w:tcW w:w="790" w:type="dxa"/>
            <w:vAlign w:val="center"/>
          </w:tcPr>
          <w:p w:rsidR="00FE25AB" w:rsidRDefault="00FE25AB">
            <w:pPr>
              <w:ind w:left="0"/>
              <w:rPr>
                <w:sz w:val="20"/>
                <w:szCs w:val="20"/>
              </w:rPr>
            </w:pPr>
            <w:r>
              <w:rPr>
                <w:sz w:val="20"/>
                <w:szCs w:val="20"/>
              </w:rPr>
              <w:t>CA</w:t>
            </w:r>
          </w:p>
        </w:tc>
        <w:tc>
          <w:tcPr>
            <w:tcW w:w="4465" w:type="dxa"/>
            <w:vAlign w:val="center"/>
          </w:tcPr>
          <w:p w:rsidR="00FE25AB" w:rsidRDefault="00FE25AB">
            <w:pPr>
              <w:ind w:left="0"/>
              <w:rPr>
                <w:sz w:val="20"/>
                <w:szCs w:val="20"/>
              </w:rPr>
            </w:pPr>
            <w:r>
              <w:rPr>
                <w:sz w:val="20"/>
                <w:szCs w:val="20"/>
              </w:rPr>
              <w:t xml:space="preserve">Works - Cyclist accessibility </w:t>
            </w:r>
          </w:p>
        </w:tc>
        <w:tc>
          <w:tcPr>
            <w:tcW w:w="1696" w:type="dxa"/>
            <w:vAlign w:val="center"/>
          </w:tcPr>
          <w:p w:rsidR="00FE25AB" w:rsidRDefault="00FE25AB">
            <w:pPr>
              <w:ind w:left="0"/>
              <w:jc w:val="center"/>
              <w:rPr>
                <w:sz w:val="20"/>
                <w:szCs w:val="20"/>
              </w:rPr>
            </w:pPr>
            <w:r>
              <w:rPr>
                <w:sz w:val="20"/>
                <w:szCs w:val="20"/>
              </w:rPr>
              <w:t>436,000</w:t>
            </w:r>
          </w:p>
        </w:tc>
        <w:tc>
          <w:tcPr>
            <w:tcW w:w="1696" w:type="dxa"/>
            <w:vAlign w:val="center"/>
          </w:tcPr>
          <w:p w:rsidR="00FE25AB" w:rsidRDefault="00FE25AB">
            <w:pPr>
              <w:ind w:left="0"/>
              <w:jc w:val="center"/>
              <w:rPr>
                <w:sz w:val="20"/>
                <w:szCs w:val="20"/>
              </w:rPr>
            </w:pPr>
            <w:r>
              <w:rPr>
                <w:sz w:val="20"/>
                <w:szCs w:val="20"/>
              </w:rPr>
              <w:t>£566,800</w:t>
            </w:r>
          </w:p>
        </w:tc>
      </w:tr>
      <w:tr w:rsidR="00FE25AB">
        <w:trPr>
          <w:trHeight w:val="288"/>
          <w:jc w:val="right"/>
        </w:trPr>
        <w:tc>
          <w:tcPr>
            <w:tcW w:w="790" w:type="dxa"/>
            <w:vAlign w:val="center"/>
          </w:tcPr>
          <w:p w:rsidR="00FE25AB" w:rsidRDefault="00FE25AB">
            <w:pPr>
              <w:ind w:left="0"/>
              <w:rPr>
                <w:sz w:val="20"/>
                <w:szCs w:val="20"/>
              </w:rPr>
            </w:pPr>
            <w:r>
              <w:rPr>
                <w:sz w:val="20"/>
                <w:szCs w:val="20"/>
              </w:rPr>
              <w:t>PR</w:t>
            </w:r>
          </w:p>
        </w:tc>
        <w:tc>
          <w:tcPr>
            <w:tcW w:w="4465" w:type="dxa"/>
            <w:vAlign w:val="center"/>
          </w:tcPr>
          <w:p w:rsidR="00FE25AB" w:rsidRDefault="00FE25AB">
            <w:pPr>
              <w:ind w:left="0"/>
              <w:rPr>
                <w:sz w:val="20"/>
                <w:szCs w:val="20"/>
              </w:rPr>
            </w:pPr>
            <w:r>
              <w:rPr>
                <w:sz w:val="20"/>
                <w:szCs w:val="20"/>
              </w:rPr>
              <w:t>Works - Public realm improvements</w:t>
            </w:r>
          </w:p>
        </w:tc>
        <w:tc>
          <w:tcPr>
            <w:tcW w:w="1696" w:type="dxa"/>
            <w:vAlign w:val="center"/>
          </w:tcPr>
          <w:p w:rsidR="00FE25AB" w:rsidRDefault="00FE25AB">
            <w:pPr>
              <w:ind w:left="0"/>
              <w:jc w:val="center"/>
              <w:rPr>
                <w:sz w:val="20"/>
                <w:szCs w:val="20"/>
              </w:rPr>
            </w:pPr>
            <w:r>
              <w:rPr>
                <w:sz w:val="20"/>
                <w:szCs w:val="20"/>
              </w:rPr>
              <w:t>1,553,300</w:t>
            </w:r>
          </w:p>
        </w:tc>
        <w:tc>
          <w:tcPr>
            <w:tcW w:w="1696" w:type="dxa"/>
            <w:vAlign w:val="center"/>
          </w:tcPr>
          <w:p w:rsidR="00FE25AB" w:rsidRDefault="00FE25AB">
            <w:pPr>
              <w:ind w:left="0"/>
              <w:jc w:val="center"/>
              <w:rPr>
                <w:sz w:val="20"/>
                <w:szCs w:val="20"/>
              </w:rPr>
            </w:pPr>
            <w:r>
              <w:rPr>
                <w:sz w:val="20"/>
                <w:szCs w:val="20"/>
              </w:rPr>
              <w:t>£2,019,290</w:t>
            </w:r>
          </w:p>
        </w:tc>
      </w:tr>
      <w:tr w:rsidR="00FE25AB">
        <w:trPr>
          <w:trHeight w:val="288"/>
          <w:jc w:val="right"/>
        </w:trPr>
        <w:tc>
          <w:tcPr>
            <w:tcW w:w="790" w:type="dxa"/>
            <w:vAlign w:val="center"/>
          </w:tcPr>
          <w:p w:rsidR="00FE25AB" w:rsidRDefault="00FE25AB">
            <w:pPr>
              <w:ind w:left="0"/>
              <w:rPr>
                <w:sz w:val="20"/>
                <w:szCs w:val="20"/>
              </w:rPr>
            </w:pPr>
            <w:r>
              <w:rPr>
                <w:sz w:val="20"/>
                <w:szCs w:val="20"/>
              </w:rPr>
              <w:t>TC</w:t>
            </w:r>
          </w:p>
        </w:tc>
        <w:tc>
          <w:tcPr>
            <w:tcW w:w="4465" w:type="dxa"/>
            <w:vAlign w:val="center"/>
          </w:tcPr>
          <w:p w:rsidR="00FE25AB" w:rsidRDefault="00FE25AB">
            <w:pPr>
              <w:ind w:left="0"/>
              <w:rPr>
                <w:sz w:val="20"/>
                <w:szCs w:val="20"/>
              </w:rPr>
            </w:pPr>
            <w:r>
              <w:rPr>
                <w:sz w:val="20"/>
                <w:szCs w:val="20"/>
              </w:rPr>
              <w:t>Works - Town centre environment</w:t>
            </w:r>
          </w:p>
        </w:tc>
        <w:tc>
          <w:tcPr>
            <w:tcW w:w="1696" w:type="dxa"/>
            <w:vAlign w:val="center"/>
          </w:tcPr>
          <w:p w:rsidR="00FE25AB" w:rsidRDefault="00FE25AB">
            <w:pPr>
              <w:ind w:left="0"/>
              <w:jc w:val="center"/>
              <w:rPr>
                <w:sz w:val="20"/>
                <w:szCs w:val="20"/>
              </w:rPr>
            </w:pPr>
            <w:r>
              <w:rPr>
                <w:sz w:val="20"/>
                <w:szCs w:val="20"/>
              </w:rPr>
              <w:t>1,190,000</w:t>
            </w:r>
          </w:p>
        </w:tc>
        <w:tc>
          <w:tcPr>
            <w:tcW w:w="1696" w:type="dxa"/>
            <w:vAlign w:val="center"/>
          </w:tcPr>
          <w:p w:rsidR="00FE25AB" w:rsidRDefault="00FE25AB">
            <w:pPr>
              <w:ind w:left="0"/>
              <w:jc w:val="center"/>
              <w:rPr>
                <w:sz w:val="20"/>
                <w:szCs w:val="20"/>
              </w:rPr>
            </w:pPr>
            <w:r>
              <w:rPr>
                <w:sz w:val="20"/>
                <w:szCs w:val="20"/>
              </w:rPr>
              <w:t>£1,547,000</w:t>
            </w:r>
          </w:p>
        </w:tc>
      </w:tr>
      <w:tr w:rsidR="00FE25AB">
        <w:trPr>
          <w:trHeight w:val="288"/>
          <w:jc w:val="right"/>
        </w:trPr>
        <w:tc>
          <w:tcPr>
            <w:tcW w:w="790" w:type="dxa"/>
            <w:tcBorders>
              <w:bottom w:val="single" w:sz="12" w:space="0" w:color="auto"/>
            </w:tcBorders>
            <w:vAlign w:val="center"/>
          </w:tcPr>
          <w:p w:rsidR="00FE25AB" w:rsidRDefault="00FE25AB">
            <w:pPr>
              <w:ind w:left="0"/>
              <w:rPr>
                <w:sz w:val="20"/>
                <w:szCs w:val="20"/>
              </w:rPr>
            </w:pPr>
            <w:r>
              <w:rPr>
                <w:sz w:val="20"/>
                <w:szCs w:val="20"/>
              </w:rPr>
              <w:t>DEV</w:t>
            </w:r>
          </w:p>
        </w:tc>
        <w:tc>
          <w:tcPr>
            <w:tcW w:w="4465" w:type="dxa"/>
            <w:tcBorders>
              <w:bottom w:val="single" w:sz="12" w:space="0" w:color="auto"/>
            </w:tcBorders>
            <w:vAlign w:val="center"/>
          </w:tcPr>
          <w:p w:rsidR="00FE25AB" w:rsidRDefault="00FE25AB">
            <w:pPr>
              <w:ind w:left="0"/>
              <w:rPr>
                <w:sz w:val="20"/>
                <w:szCs w:val="20"/>
              </w:rPr>
            </w:pPr>
            <w:r>
              <w:rPr>
                <w:sz w:val="20"/>
                <w:szCs w:val="20"/>
              </w:rPr>
              <w:t>Works - Development site links</w:t>
            </w:r>
          </w:p>
        </w:tc>
        <w:tc>
          <w:tcPr>
            <w:tcW w:w="1696" w:type="dxa"/>
            <w:tcBorders>
              <w:bottom w:val="single" w:sz="12" w:space="0" w:color="auto"/>
            </w:tcBorders>
            <w:vAlign w:val="center"/>
          </w:tcPr>
          <w:p w:rsidR="00FE25AB" w:rsidRDefault="00FE25AB">
            <w:pPr>
              <w:ind w:left="0"/>
              <w:jc w:val="center"/>
              <w:rPr>
                <w:sz w:val="20"/>
                <w:szCs w:val="20"/>
              </w:rPr>
            </w:pPr>
            <w:r>
              <w:rPr>
                <w:sz w:val="20"/>
                <w:szCs w:val="20"/>
              </w:rPr>
              <w:t>537,500</w:t>
            </w:r>
          </w:p>
        </w:tc>
        <w:tc>
          <w:tcPr>
            <w:tcW w:w="1696" w:type="dxa"/>
            <w:tcBorders>
              <w:bottom w:val="single" w:sz="12" w:space="0" w:color="auto"/>
            </w:tcBorders>
            <w:vAlign w:val="center"/>
          </w:tcPr>
          <w:p w:rsidR="00FE25AB" w:rsidRDefault="00FE25AB">
            <w:pPr>
              <w:ind w:left="0"/>
              <w:jc w:val="center"/>
              <w:rPr>
                <w:sz w:val="20"/>
                <w:szCs w:val="20"/>
              </w:rPr>
            </w:pPr>
            <w:r>
              <w:rPr>
                <w:sz w:val="20"/>
                <w:szCs w:val="20"/>
              </w:rPr>
              <w:t>£698,750</w:t>
            </w:r>
          </w:p>
        </w:tc>
      </w:tr>
      <w:tr w:rsidR="00FE25AB">
        <w:trPr>
          <w:trHeight w:val="288"/>
          <w:jc w:val="right"/>
        </w:trPr>
        <w:tc>
          <w:tcPr>
            <w:tcW w:w="5255" w:type="dxa"/>
            <w:gridSpan w:val="2"/>
            <w:tcBorders>
              <w:top w:val="single" w:sz="12" w:space="0" w:color="auto"/>
            </w:tcBorders>
            <w:vAlign w:val="center"/>
          </w:tcPr>
          <w:p w:rsidR="00FE25AB" w:rsidRDefault="00FE25AB">
            <w:pPr>
              <w:jc w:val="right"/>
              <w:rPr>
                <w:b/>
                <w:bCs/>
                <w:sz w:val="20"/>
                <w:szCs w:val="20"/>
              </w:rPr>
            </w:pPr>
            <w:r>
              <w:rPr>
                <w:b/>
                <w:bCs/>
                <w:sz w:val="20"/>
                <w:szCs w:val="20"/>
              </w:rPr>
              <w:t>Sub-Totals</w:t>
            </w:r>
          </w:p>
        </w:tc>
        <w:tc>
          <w:tcPr>
            <w:tcW w:w="1696" w:type="dxa"/>
            <w:tcBorders>
              <w:top w:val="single" w:sz="12" w:space="0" w:color="auto"/>
            </w:tcBorders>
            <w:vAlign w:val="center"/>
          </w:tcPr>
          <w:p w:rsidR="00FE25AB" w:rsidRDefault="00FE25AB">
            <w:pPr>
              <w:ind w:left="0"/>
              <w:jc w:val="center"/>
              <w:rPr>
                <w:sz w:val="20"/>
                <w:szCs w:val="20"/>
              </w:rPr>
            </w:pPr>
            <w:r>
              <w:rPr>
                <w:sz w:val="20"/>
                <w:szCs w:val="20"/>
              </w:rPr>
              <w:t>6,923,400</w:t>
            </w:r>
          </w:p>
        </w:tc>
        <w:tc>
          <w:tcPr>
            <w:tcW w:w="1696" w:type="dxa"/>
            <w:tcBorders>
              <w:top w:val="single" w:sz="12" w:space="0" w:color="auto"/>
            </w:tcBorders>
            <w:vAlign w:val="center"/>
          </w:tcPr>
          <w:p w:rsidR="00FE25AB" w:rsidRDefault="00FE25AB">
            <w:pPr>
              <w:ind w:left="0"/>
              <w:jc w:val="center"/>
              <w:rPr>
                <w:sz w:val="20"/>
                <w:szCs w:val="20"/>
              </w:rPr>
            </w:pPr>
            <w:r>
              <w:rPr>
                <w:sz w:val="20"/>
                <w:szCs w:val="20"/>
              </w:rPr>
              <w:t>9,000,420</w:t>
            </w:r>
          </w:p>
        </w:tc>
      </w:tr>
      <w:tr w:rsidR="00FE25AB">
        <w:trPr>
          <w:trHeight w:val="288"/>
          <w:jc w:val="right"/>
        </w:trPr>
        <w:tc>
          <w:tcPr>
            <w:tcW w:w="6951" w:type="dxa"/>
            <w:gridSpan w:val="3"/>
            <w:tcBorders>
              <w:bottom w:val="single" w:sz="12" w:space="0" w:color="auto"/>
            </w:tcBorders>
            <w:vAlign w:val="center"/>
          </w:tcPr>
          <w:p w:rsidR="00FE25AB" w:rsidRDefault="00FE25AB">
            <w:pPr>
              <w:jc w:val="right"/>
              <w:rPr>
                <w:b/>
                <w:bCs/>
                <w:sz w:val="20"/>
                <w:szCs w:val="20"/>
              </w:rPr>
            </w:pPr>
            <w:r>
              <w:rPr>
                <w:b/>
                <w:bCs/>
                <w:sz w:val="20"/>
                <w:szCs w:val="20"/>
              </w:rPr>
              <w:t>44% optimism bias</w:t>
            </w:r>
          </w:p>
        </w:tc>
        <w:tc>
          <w:tcPr>
            <w:tcW w:w="1696" w:type="dxa"/>
            <w:tcBorders>
              <w:bottom w:val="single" w:sz="12" w:space="0" w:color="auto"/>
            </w:tcBorders>
            <w:vAlign w:val="center"/>
          </w:tcPr>
          <w:p w:rsidR="00FE25AB" w:rsidRDefault="00FE25AB">
            <w:pPr>
              <w:ind w:left="0"/>
              <w:jc w:val="center"/>
              <w:rPr>
                <w:sz w:val="20"/>
                <w:szCs w:val="20"/>
              </w:rPr>
            </w:pPr>
            <w:r>
              <w:rPr>
                <w:sz w:val="20"/>
                <w:szCs w:val="20"/>
              </w:rPr>
              <w:t>3,960,185</w:t>
            </w:r>
          </w:p>
        </w:tc>
      </w:tr>
      <w:tr w:rsidR="00FE25AB">
        <w:trPr>
          <w:trHeight w:val="288"/>
          <w:jc w:val="right"/>
        </w:trPr>
        <w:tc>
          <w:tcPr>
            <w:tcW w:w="6951" w:type="dxa"/>
            <w:gridSpan w:val="3"/>
            <w:tcBorders>
              <w:top w:val="single" w:sz="12" w:space="0" w:color="auto"/>
            </w:tcBorders>
            <w:vAlign w:val="center"/>
          </w:tcPr>
          <w:p w:rsidR="00FE25AB" w:rsidRDefault="00FE25AB">
            <w:pPr>
              <w:jc w:val="right"/>
              <w:rPr>
                <w:b/>
                <w:bCs/>
                <w:sz w:val="20"/>
                <w:szCs w:val="20"/>
              </w:rPr>
            </w:pPr>
            <w:r>
              <w:rPr>
                <w:b/>
                <w:bCs/>
                <w:sz w:val="20"/>
                <w:szCs w:val="20"/>
              </w:rPr>
              <w:t>Total</w:t>
            </w:r>
          </w:p>
        </w:tc>
        <w:tc>
          <w:tcPr>
            <w:tcW w:w="1696" w:type="dxa"/>
            <w:tcBorders>
              <w:top w:val="single" w:sz="12" w:space="0" w:color="auto"/>
            </w:tcBorders>
            <w:vAlign w:val="center"/>
          </w:tcPr>
          <w:p w:rsidR="00FE25AB" w:rsidRDefault="00FE25AB">
            <w:pPr>
              <w:ind w:left="0"/>
              <w:jc w:val="center"/>
              <w:rPr>
                <w:sz w:val="20"/>
                <w:szCs w:val="20"/>
              </w:rPr>
            </w:pPr>
            <w:r>
              <w:rPr>
                <w:sz w:val="20"/>
                <w:szCs w:val="20"/>
              </w:rPr>
              <w:t>12,960,605</w:t>
            </w:r>
          </w:p>
        </w:tc>
      </w:tr>
    </w:tbl>
    <w:p w:rsidR="00FE25AB" w:rsidRDefault="00FE25AB">
      <w:pPr>
        <w:pStyle w:val="Subsection"/>
      </w:pPr>
    </w:p>
    <w:p w:rsidR="00FE25AB" w:rsidRDefault="00FE25AB">
      <w:pPr>
        <w:pStyle w:val="Subsection"/>
        <w:rPr>
          <w:i/>
          <w:iCs/>
        </w:rPr>
      </w:pPr>
      <w:r>
        <w:rPr>
          <w:i/>
          <w:iCs/>
        </w:rPr>
        <w:t>4.2.2</w:t>
      </w:r>
      <w:r>
        <w:rPr>
          <w:i/>
          <w:iCs/>
        </w:rPr>
        <w:tab/>
        <w:t>Maintenance Expenditure</w:t>
      </w:r>
    </w:p>
    <w:p w:rsidR="00FE25AB" w:rsidRDefault="00FE25AB">
      <w:pPr>
        <w:pStyle w:val="Subsection"/>
      </w:pPr>
    </w:p>
    <w:p w:rsidR="00FE25AB" w:rsidRDefault="00FE25AB">
      <w:r>
        <w:t xml:space="preserve">There is already maintenance costs associated with the existing highway infrastructure in </w:t>
      </w:r>
      <w:proofErr w:type="spellStart"/>
      <w:r>
        <w:t>Strood</w:t>
      </w:r>
      <w:proofErr w:type="spellEnd"/>
      <w:r>
        <w:t xml:space="preserve">, which have been provided by Medway Council’s asset management team.  They have confirmed that the proposed replacement and refurbishment with new surfacing will reduce maintenance costs due to the increased life-cycle of replacement surfacing. It should also be noted that the preferred solution for </w:t>
      </w:r>
      <w:proofErr w:type="spellStart"/>
      <w:r>
        <w:t>Strood</w:t>
      </w:r>
      <w:proofErr w:type="spellEnd"/>
      <w:r>
        <w:t xml:space="preserve"> does not include major new infrastructure works i.e. new roads and therefore maintenance of the existing network is all ready budgeted for. That said</w:t>
      </w:r>
      <w:r>
        <w:rPr>
          <w:color w:val="F79646"/>
        </w:rPr>
        <w:t xml:space="preserve"> </w:t>
      </w:r>
      <w:r>
        <w:t>there may be additional maintenance costs accrued in future due to the use of more expensive surfacing materials in certain areas, or through the delivery of new cycle routes and lanes etc. The total additional costs for maintenance of this infrastructure can only be estimated by making assumptions regarding the likely additional costs. A figure of 2.5% has therefore been applied to the sum of the budget estimates for delivery of new infrastructure, or new high-quality urban realm. Note that costs for resurfacing or refurbishment of existing surfacing are not included for the reasons described above.</w:t>
      </w:r>
    </w:p>
    <w:p w:rsidR="00FE25AB" w:rsidRDefault="00FE25AB"/>
    <w:p w:rsidR="00FE25AB" w:rsidRDefault="00FE25AB">
      <w:r>
        <w:t xml:space="preserve">In addition, extra costs for new ITS and traffic signal infrastructure maintenance plus associated power requirements have been estimated, as set out in </w:t>
      </w:r>
      <w:r>
        <w:rPr>
          <w:b/>
          <w:bCs/>
        </w:rPr>
        <w:t>Table 4b</w:t>
      </w:r>
      <w:r>
        <w:t xml:space="preserve"> below:</w:t>
      </w:r>
    </w:p>
    <w:p w:rsidR="00FE25AB" w:rsidRDefault="00FE25AB"/>
    <w:tbl>
      <w:tblPr>
        <w:tblW w:w="8732" w:type="dxa"/>
        <w:tblInd w:w="2" w:type="dxa"/>
        <w:tblLayout w:type="fixed"/>
        <w:tblLook w:val="0000" w:firstRow="0" w:lastRow="0" w:firstColumn="0" w:lastColumn="0" w:noHBand="0" w:noVBand="0"/>
      </w:tblPr>
      <w:tblGrid>
        <w:gridCol w:w="4253"/>
        <w:gridCol w:w="1491"/>
        <w:gridCol w:w="1485"/>
        <w:gridCol w:w="9"/>
        <w:gridCol w:w="1494"/>
      </w:tblGrid>
      <w:tr w:rsidR="00FE25AB">
        <w:trPr>
          <w:trHeight w:val="738"/>
        </w:trPr>
        <w:tc>
          <w:tcPr>
            <w:tcW w:w="4253" w:type="dxa"/>
            <w:tcBorders>
              <w:top w:val="nil"/>
              <w:left w:val="nil"/>
              <w:bottom w:val="nil"/>
              <w:right w:val="nil"/>
            </w:tcBorders>
            <w:noWrap/>
          </w:tcPr>
          <w:p w:rsidR="00FE25AB" w:rsidRDefault="00FE25AB">
            <w:pPr>
              <w:ind w:left="0"/>
              <w:rPr>
                <w:sz w:val="20"/>
                <w:szCs w:val="20"/>
              </w:rPr>
            </w:pPr>
            <w:r>
              <w:rPr>
                <w:b/>
                <w:bCs/>
              </w:rPr>
              <w:t>Table 4b – Estimated additional maintenance costs</w:t>
            </w:r>
          </w:p>
        </w:tc>
        <w:tc>
          <w:tcPr>
            <w:tcW w:w="1491" w:type="dxa"/>
            <w:tcBorders>
              <w:top w:val="single" w:sz="4" w:space="0" w:color="auto"/>
              <w:left w:val="single" w:sz="4" w:space="0" w:color="auto"/>
              <w:bottom w:val="single" w:sz="4" w:space="0" w:color="auto"/>
              <w:right w:val="single" w:sz="4" w:space="0" w:color="auto"/>
            </w:tcBorders>
            <w:shd w:val="clear" w:color="auto" w:fill="D9D9D9"/>
            <w:vAlign w:val="center"/>
          </w:tcPr>
          <w:p w:rsidR="00FE25AB" w:rsidRDefault="00FE25AB">
            <w:pPr>
              <w:ind w:left="0"/>
              <w:jc w:val="center"/>
              <w:rPr>
                <w:b/>
                <w:bCs/>
                <w:sz w:val="18"/>
                <w:szCs w:val="18"/>
              </w:rPr>
            </w:pPr>
            <w:r>
              <w:rPr>
                <w:b/>
                <w:bCs/>
                <w:sz w:val="18"/>
                <w:szCs w:val="18"/>
              </w:rPr>
              <w:t>Proposed additional infrastructure</w:t>
            </w:r>
          </w:p>
        </w:tc>
        <w:tc>
          <w:tcPr>
            <w:tcW w:w="1494" w:type="dxa"/>
            <w:gridSpan w:val="2"/>
            <w:tcBorders>
              <w:top w:val="single" w:sz="4" w:space="0" w:color="auto"/>
              <w:left w:val="nil"/>
              <w:bottom w:val="single" w:sz="4" w:space="0" w:color="auto"/>
              <w:right w:val="single" w:sz="4" w:space="0" w:color="auto"/>
            </w:tcBorders>
            <w:shd w:val="clear" w:color="auto" w:fill="D9D9D9"/>
            <w:vAlign w:val="center"/>
          </w:tcPr>
          <w:p w:rsidR="00FE25AB" w:rsidRDefault="00FE25AB">
            <w:pPr>
              <w:ind w:left="0"/>
              <w:jc w:val="right"/>
              <w:rPr>
                <w:b/>
                <w:bCs/>
                <w:sz w:val="18"/>
                <w:szCs w:val="18"/>
              </w:rPr>
            </w:pPr>
            <w:r>
              <w:rPr>
                <w:b/>
                <w:bCs/>
                <w:sz w:val="18"/>
                <w:szCs w:val="18"/>
              </w:rPr>
              <w:t>Existing cost per Unit</w:t>
            </w:r>
          </w:p>
        </w:tc>
        <w:tc>
          <w:tcPr>
            <w:tcW w:w="1494" w:type="dxa"/>
            <w:tcBorders>
              <w:top w:val="single" w:sz="4" w:space="0" w:color="auto"/>
              <w:left w:val="nil"/>
              <w:bottom w:val="single" w:sz="4" w:space="0" w:color="auto"/>
              <w:right w:val="single" w:sz="4" w:space="0" w:color="auto"/>
            </w:tcBorders>
            <w:shd w:val="clear" w:color="auto" w:fill="D9D9D9"/>
            <w:vAlign w:val="center"/>
          </w:tcPr>
          <w:p w:rsidR="00FE25AB" w:rsidRDefault="00FE25AB">
            <w:pPr>
              <w:ind w:left="0"/>
              <w:jc w:val="right"/>
              <w:rPr>
                <w:b/>
                <w:bCs/>
                <w:sz w:val="18"/>
                <w:szCs w:val="18"/>
              </w:rPr>
            </w:pPr>
            <w:r>
              <w:rPr>
                <w:b/>
                <w:bCs/>
                <w:sz w:val="18"/>
                <w:szCs w:val="18"/>
              </w:rPr>
              <w:t>Estimated additional costs</w:t>
            </w:r>
          </w:p>
        </w:tc>
      </w:tr>
      <w:tr w:rsidR="00FE25AB">
        <w:trPr>
          <w:trHeight w:val="300"/>
        </w:trPr>
        <w:tc>
          <w:tcPr>
            <w:tcW w:w="4253" w:type="dxa"/>
            <w:tcBorders>
              <w:top w:val="single" w:sz="4" w:space="0" w:color="auto"/>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Traffic signals</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2</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£499.53</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£999.06</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CCTV traffic monitoring only</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5</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£133.87</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£669.35</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VMS</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5</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£278.53</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£1,392.65</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Communications</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13</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£26.69</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£346.97</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ATC</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3</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£145.53</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£436.59</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VAS</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5</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£456.65</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£2,283.25</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Environment Monitoring Unit</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4</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£467.61</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£1,870.44</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Energy estimates - new signals</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3</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£170.00</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£510.00</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Energy estimates - other assets</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Est Sum</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£1,200.00</w:t>
            </w:r>
          </w:p>
        </w:tc>
      </w:tr>
      <w:tr w:rsidR="00FE25AB">
        <w:trPr>
          <w:trHeight w:val="300"/>
        </w:trPr>
        <w:tc>
          <w:tcPr>
            <w:tcW w:w="4253" w:type="dxa"/>
            <w:tcBorders>
              <w:top w:val="nil"/>
              <w:left w:val="single" w:sz="4" w:space="0" w:color="auto"/>
              <w:bottom w:val="single" w:sz="4" w:space="0" w:color="auto"/>
              <w:right w:val="single" w:sz="4" w:space="0" w:color="auto"/>
            </w:tcBorders>
            <w:noWrap/>
            <w:vAlign w:val="bottom"/>
          </w:tcPr>
          <w:p w:rsidR="00FE25AB" w:rsidRDefault="00FE25AB">
            <w:pPr>
              <w:ind w:left="0"/>
              <w:rPr>
                <w:sz w:val="20"/>
                <w:szCs w:val="20"/>
              </w:rPr>
            </w:pPr>
            <w:r>
              <w:rPr>
                <w:sz w:val="20"/>
                <w:szCs w:val="20"/>
              </w:rPr>
              <w:t>Energy estimates - UTC costs</w:t>
            </w:r>
          </w:p>
        </w:tc>
        <w:tc>
          <w:tcPr>
            <w:tcW w:w="1491" w:type="dxa"/>
            <w:tcBorders>
              <w:top w:val="nil"/>
              <w:left w:val="nil"/>
              <w:bottom w:val="single" w:sz="4" w:space="0" w:color="auto"/>
              <w:right w:val="single" w:sz="4" w:space="0" w:color="auto"/>
            </w:tcBorders>
            <w:noWrap/>
            <w:vAlign w:val="center"/>
          </w:tcPr>
          <w:p w:rsidR="00FE25AB" w:rsidRDefault="00FE25AB">
            <w:pPr>
              <w:ind w:left="0"/>
              <w:jc w:val="center"/>
              <w:rPr>
                <w:sz w:val="20"/>
                <w:szCs w:val="20"/>
              </w:rPr>
            </w:pPr>
            <w:r>
              <w:rPr>
                <w:sz w:val="20"/>
                <w:szCs w:val="20"/>
              </w:rPr>
              <w:t>-</w:t>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 xml:space="preserve"> Est Sum</w:t>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£1,200.00</w:t>
            </w:r>
          </w:p>
        </w:tc>
      </w:tr>
      <w:tr w:rsidR="00FE25AB">
        <w:trPr>
          <w:trHeight w:val="300"/>
        </w:trPr>
        <w:tc>
          <w:tcPr>
            <w:tcW w:w="4253" w:type="dxa"/>
            <w:tcBorders>
              <w:top w:val="single" w:sz="4" w:space="0" w:color="auto"/>
              <w:left w:val="single" w:sz="4" w:space="0" w:color="auto"/>
              <w:bottom w:val="single" w:sz="4" w:space="0" w:color="auto"/>
              <w:right w:val="nil"/>
            </w:tcBorders>
            <w:noWrap/>
            <w:vAlign w:val="bottom"/>
          </w:tcPr>
          <w:p w:rsidR="00FE25AB" w:rsidRDefault="00FE25AB">
            <w:pPr>
              <w:ind w:left="0"/>
              <w:rPr>
                <w:sz w:val="20"/>
                <w:szCs w:val="20"/>
              </w:rPr>
            </w:pPr>
            <w:r>
              <w:rPr>
                <w:sz w:val="20"/>
                <w:szCs w:val="20"/>
              </w:rPr>
              <w:lastRenderedPageBreak/>
              <w:t>Costs for maintaining new infrastructure</w:t>
            </w:r>
          </w:p>
        </w:tc>
        <w:tc>
          <w:tcPr>
            <w:tcW w:w="1491" w:type="dxa"/>
            <w:tcBorders>
              <w:top w:val="nil"/>
              <w:left w:val="single" w:sz="4" w:space="0" w:color="auto"/>
              <w:bottom w:val="single" w:sz="4" w:space="0" w:color="auto"/>
              <w:right w:val="single" w:sz="4" w:space="0" w:color="auto"/>
            </w:tcBorders>
            <w:noWrap/>
            <w:vAlign w:val="center"/>
          </w:tcPr>
          <w:p w:rsidR="00FE25AB" w:rsidRDefault="00FE25AB">
            <w:pPr>
              <w:ind w:left="0"/>
              <w:jc w:val="right"/>
              <w:rPr>
                <w:sz w:val="20"/>
                <w:szCs w:val="20"/>
              </w:rPr>
            </w:pPr>
            <w:r>
              <w:rPr>
                <w:sz w:val="20"/>
                <w:szCs w:val="20"/>
              </w:rPr>
              <w:t>£911,300.00</w:t>
            </w:r>
            <w:r>
              <w:rPr>
                <w:rStyle w:val="FootnoteReference"/>
                <w:rFonts w:ascii="Arial" w:hAnsi="Arial" w:cs="Arial"/>
                <w:sz w:val="20"/>
                <w:szCs w:val="20"/>
              </w:rPr>
              <w:footnoteReference w:id="14"/>
            </w:r>
          </w:p>
        </w:tc>
        <w:tc>
          <w:tcPr>
            <w:tcW w:w="1494" w:type="dxa"/>
            <w:gridSpan w:val="2"/>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2.5%</w:t>
            </w:r>
            <w:r>
              <w:rPr>
                <w:rStyle w:val="FootnoteReference"/>
                <w:rFonts w:ascii="Arial" w:hAnsi="Arial" w:cs="Arial"/>
                <w:sz w:val="20"/>
                <w:szCs w:val="20"/>
              </w:rPr>
              <w:footnoteReference w:id="15"/>
            </w:r>
          </w:p>
        </w:tc>
        <w:tc>
          <w:tcPr>
            <w:tcW w:w="1494" w:type="dxa"/>
            <w:tcBorders>
              <w:top w:val="nil"/>
              <w:left w:val="nil"/>
              <w:bottom w:val="single" w:sz="4" w:space="0" w:color="auto"/>
              <w:right w:val="single" w:sz="4" w:space="0" w:color="auto"/>
            </w:tcBorders>
            <w:noWrap/>
            <w:vAlign w:val="bottom"/>
          </w:tcPr>
          <w:p w:rsidR="00FE25AB" w:rsidRDefault="00FE25AB">
            <w:pPr>
              <w:ind w:left="0"/>
              <w:jc w:val="right"/>
              <w:rPr>
                <w:sz w:val="20"/>
                <w:szCs w:val="20"/>
              </w:rPr>
            </w:pPr>
            <w:r>
              <w:rPr>
                <w:sz w:val="20"/>
                <w:szCs w:val="20"/>
              </w:rPr>
              <w:t>£22,782.50</w:t>
            </w:r>
          </w:p>
        </w:tc>
      </w:tr>
      <w:tr w:rsidR="00FE25AB">
        <w:trPr>
          <w:trHeight w:val="300"/>
        </w:trPr>
        <w:tc>
          <w:tcPr>
            <w:tcW w:w="7229" w:type="dxa"/>
            <w:gridSpan w:val="3"/>
            <w:tcBorders>
              <w:top w:val="nil"/>
              <w:left w:val="nil"/>
              <w:bottom w:val="nil"/>
              <w:right w:val="single" w:sz="4" w:space="0" w:color="auto"/>
            </w:tcBorders>
            <w:noWrap/>
            <w:vAlign w:val="bottom"/>
          </w:tcPr>
          <w:p w:rsidR="00FE25AB" w:rsidRDefault="00FE25AB">
            <w:pPr>
              <w:ind w:left="0"/>
              <w:jc w:val="right"/>
              <w:rPr>
                <w:b/>
                <w:bCs/>
                <w:sz w:val="20"/>
                <w:szCs w:val="20"/>
              </w:rPr>
            </w:pPr>
            <w:r>
              <w:rPr>
                <w:b/>
                <w:bCs/>
                <w:sz w:val="20"/>
                <w:szCs w:val="20"/>
              </w:rPr>
              <w:t>Total estimated additional maintenance costs per annum</w:t>
            </w:r>
          </w:p>
        </w:tc>
        <w:tc>
          <w:tcPr>
            <w:tcW w:w="1503" w:type="dxa"/>
            <w:gridSpan w:val="2"/>
            <w:tcBorders>
              <w:top w:val="single" w:sz="4" w:space="0" w:color="auto"/>
              <w:left w:val="nil"/>
              <w:bottom w:val="single" w:sz="4" w:space="0" w:color="auto"/>
              <w:right w:val="single" w:sz="4" w:space="0" w:color="auto"/>
            </w:tcBorders>
            <w:noWrap/>
            <w:vAlign w:val="bottom"/>
          </w:tcPr>
          <w:p w:rsidR="00FE25AB" w:rsidRDefault="00FE25AB">
            <w:pPr>
              <w:ind w:left="0"/>
              <w:jc w:val="right"/>
              <w:rPr>
                <w:b/>
                <w:bCs/>
                <w:sz w:val="20"/>
                <w:szCs w:val="20"/>
              </w:rPr>
            </w:pPr>
            <w:r>
              <w:rPr>
                <w:b/>
                <w:bCs/>
                <w:sz w:val="20"/>
                <w:szCs w:val="20"/>
              </w:rPr>
              <w:t>£33,690.81</w:t>
            </w:r>
          </w:p>
        </w:tc>
      </w:tr>
    </w:tbl>
    <w:p w:rsidR="00FE25AB" w:rsidRDefault="00FE25AB">
      <w:r>
        <w:t>Additional costs of £33,000 per annum are therefore estimated and these costs have been included within the business case assessment to determine impact on the overall value for money of the scheme.</w:t>
      </w:r>
    </w:p>
    <w:p w:rsidR="00FE25AB" w:rsidRDefault="00FE25AB">
      <w:pPr>
        <w:ind w:left="0"/>
      </w:pPr>
    </w:p>
    <w:p w:rsidR="00FE25AB" w:rsidRDefault="00FE25AB">
      <w:pPr>
        <w:pStyle w:val="Subsection"/>
      </w:pPr>
      <w:r>
        <w:t>4.2.3</w:t>
      </w:r>
      <w:r>
        <w:tab/>
        <w:t>Cost Profile</w:t>
      </w:r>
    </w:p>
    <w:p w:rsidR="00FE25AB" w:rsidRDefault="00FE25AB">
      <w:pPr>
        <w:pStyle w:val="Subsection"/>
      </w:pPr>
    </w:p>
    <w:p w:rsidR="00FE25AB" w:rsidRDefault="00FE25AB">
      <w:r>
        <w:t xml:space="preserve">Table 4c presents the scheme costs profiled by financial year for the duration of the funding period. </w:t>
      </w:r>
    </w:p>
    <w:p w:rsidR="00FE25AB" w:rsidRDefault="00FE25AB"/>
    <w:p w:rsidR="00FE25AB" w:rsidRDefault="00FE25AB">
      <w:r>
        <w:t xml:space="preserve">£2.5m of developer funding is predicted to become available in the 2017/18 financial year, subject to completion of associated land deals. £1.25m of LGF funding contribution towards reconstruction of </w:t>
      </w:r>
      <w:proofErr w:type="spellStart"/>
      <w:r>
        <w:t>Strood</w:t>
      </w:r>
      <w:proofErr w:type="spellEnd"/>
      <w:r>
        <w:t xml:space="preserve"> Station will be released during 2016/17.</w:t>
      </w:r>
    </w:p>
    <w:p w:rsidR="00FE25AB" w:rsidRDefault="00FE25AB"/>
    <w:p w:rsidR="00FE25AB" w:rsidRDefault="00FE25AB">
      <w:r>
        <w:t>Planning, consultation and detailed design work for the core town centre scheme will take place during 2015/16 and 2016/17, with initial preparatory works and early win schemes being delivered in 2016/17. The majority of construction works will be delivered in 2017/18.</w:t>
      </w:r>
    </w:p>
    <w:p w:rsidR="00FE25AB" w:rsidRDefault="00FE25AB"/>
    <w:p w:rsidR="00FE25AB" w:rsidRDefault="00FE25AB">
      <w:pPr>
        <w:rPr>
          <w:b/>
          <w:bCs/>
        </w:rPr>
      </w:pPr>
      <w:r>
        <w:rPr>
          <w:b/>
          <w:bCs/>
        </w:rPr>
        <w:br w:type="page"/>
      </w:r>
      <w:r>
        <w:rPr>
          <w:b/>
          <w:bCs/>
        </w:rPr>
        <w:lastRenderedPageBreak/>
        <w:t xml:space="preserve">Table 4c – Cost Profile </w:t>
      </w:r>
    </w:p>
    <w:p w:rsidR="00FE25AB" w:rsidRDefault="00FE25AB">
      <w:pPr>
        <w:pStyle w:val="Subsection"/>
      </w:pPr>
    </w:p>
    <w:tbl>
      <w:tblPr>
        <w:tblW w:w="8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617"/>
        <w:gridCol w:w="709"/>
        <w:gridCol w:w="850"/>
        <w:gridCol w:w="993"/>
        <w:gridCol w:w="992"/>
        <w:gridCol w:w="850"/>
        <w:gridCol w:w="808"/>
      </w:tblGrid>
      <w:tr w:rsidR="00FE25AB">
        <w:trPr>
          <w:trHeight w:val="763"/>
        </w:trPr>
        <w:tc>
          <w:tcPr>
            <w:tcW w:w="2785" w:type="dxa"/>
            <w:vAlign w:val="center"/>
          </w:tcPr>
          <w:p w:rsidR="00FE25AB" w:rsidRDefault="00FE25AB">
            <w:pPr>
              <w:pStyle w:val="Subsection"/>
            </w:pPr>
            <w:r>
              <w:t>Expenditure</w:t>
            </w:r>
          </w:p>
        </w:tc>
        <w:tc>
          <w:tcPr>
            <w:tcW w:w="617" w:type="dxa"/>
            <w:shd w:val="clear" w:color="auto" w:fill="D9D9D9"/>
            <w:vAlign w:val="center"/>
          </w:tcPr>
          <w:p w:rsidR="00FE25AB" w:rsidRDefault="00FE25AB">
            <w:pPr>
              <w:pStyle w:val="Subsection"/>
              <w:jc w:val="center"/>
              <w:rPr>
                <w:sz w:val="18"/>
                <w:szCs w:val="18"/>
              </w:rPr>
            </w:pPr>
            <w:r>
              <w:rPr>
                <w:sz w:val="18"/>
                <w:szCs w:val="18"/>
              </w:rPr>
              <w:t>*Est. type</w:t>
            </w:r>
          </w:p>
        </w:tc>
        <w:tc>
          <w:tcPr>
            <w:tcW w:w="709" w:type="dxa"/>
            <w:shd w:val="clear" w:color="auto" w:fill="D9D9D9"/>
            <w:vAlign w:val="center"/>
          </w:tcPr>
          <w:p w:rsidR="00FE25AB" w:rsidRDefault="00FE25AB">
            <w:pPr>
              <w:pStyle w:val="Subsection"/>
              <w:jc w:val="center"/>
              <w:rPr>
                <w:sz w:val="18"/>
                <w:szCs w:val="18"/>
              </w:rPr>
            </w:pPr>
            <w:r>
              <w:rPr>
                <w:sz w:val="18"/>
                <w:szCs w:val="18"/>
              </w:rPr>
              <w:t>2014/</w:t>
            </w:r>
          </w:p>
          <w:p w:rsidR="00FE25AB" w:rsidRDefault="00FE25AB">
            <w:pPr>
              <w:pStyle w:val="Subsection"/>
              <w:jc w:val="center"/>
              <w:rPr>
                <w:sz w:val="18"/>
                <w:szCs w:val="18"/>
              </w:rPr>
            </w:pPr>
            <w:r>
              <w:rPr>
                <w:sz w:val="18"/>
                <w:szCs w:val="18"/>
              </w:rPr>
              <w:t>15</w:t>
            </w:r>
          </w:p>
          <w:p w:rsidR="00FE25AB" w:rsidRDefault="00FE25AB">
            <w:pPr>
              <w:pStyle w:val="Subsection"/>
              <w:jc w:val="center"/>
              <w:rPr>
                <w:sz w:val="18"/>
                <w:szCs w:val="18"/>
              </w:rPr>
            </w:pPr>
            <w:r>
              <w:rPr>
                <w:sz w:val="18"/>
                <w:szCs w:val="18"/>
              </w:rPr>
              <w:t>£000</w:t>
            </w:r>
          </w:p>
        </w:tc>
        <w:tc>
          <w:tcPr>
            <w:tcW w:w="850" w:type="dxa"/>
            <w:shd w:val="clear" w:color="auto" w:fill="D9D9D9"/>
            <w:vAlign w:val="center"/>
          </w:tcPr>
          <w:p w:rsidR="00FE25AB" w:rsidRDefault="00FE25AB">
            <w:pPr>
              <w:pStyle w:val="Subsection"/>
              <w:jc w:val="center"/>
              <w:rPr>
                <w:sz w:val="18"/>
                <w:szCs w:val="18"/>
              </w:rPr>
            </w:pPr>
            <w:r>
              <w:rPr>
                <w:sz w:val="18"/>
                <w:szCs w:val="18"/>
              </w:rPr>
              <w:t>2015/</w:t>
            </w:r>
          </w:p>
          <w:p w:rsidR="00FE25AB" w:rsidRDefault="00FE25AB">
            <w:pPr>
              <w:pStyle w:val="Subsection"/>
              <w:jc w:val="center"/>
              <w:rPr>
                <w:sz w:val="18"/>
                <w:szCs w:val="18"/>
              </w:rPr>
            </w:pPr>
            <w:r>
              <w:rPr>
                <w:sz w:val="18"/>
                <w:szCs w:val="18"/>
              </w:rPr>
              <w:t>16</w:t>
            </w:r>
          </w:p>
          <w:p w:rsidR="00FE25AB" w:rsidRDefault="00FE25AB">
            <w:pPr>
              <w:pStyle w:val="Subsection"/>
              <w:jc w:val="center"/>
              <w:rPr>
                <w:sz w:val="18"/>
                <w:szCs w:val="18"/>
              </w:rPr>
            </w:pPr>
            <w:r>
              <w:rPr>
                <w:sz w:val="18"/>
                <w:szCs w:val="18"/>
              </w:rPr>
              <w:t>£000</w:t>
            </w:r>
          </w:p>
        </w:tc>
        <w:tc>
          <w:tcPr>
            <w:tcW w:w="993" w:type="dxa"/>
            <w:shd w:val="clear" w:color="auto" w:fill="D9D9D9"/>
            <w:vAlign w:val="center"/>
          </w:tcPr>
          <w:p w:rsidR="00FE25AB" w:rsidRDefault="00FE25AB">
            <w:pPr>
              <w:pStyle w:val="Subsection"/>
              <w:jc w:val="center"/>
              <w:rPr>
                <w:sz w:val="18"/>
                <w:szCs w:val="18"/>
              </w:rPr>
            </w:pPr>
            <w:r>
              <w:rPr>
                <w:sz w:val="18"/>
                <w:szCs w:val="18"/>
              </w:rPr>
              <w:t>2016/</w:t>
            </w:r>
          </w:p>
          <w:p w:rsidR="00FE25AB" w:rsidRDefault="00FE25AB">
            <w:pPr>
              <w:pStyle w:val="Subsection"/>
              <w:jc w:val="center"/>
              <w:rPr>
                <w:sz w:val="18"/>
                <w:szCs w:val="18"/>
              </w:rPr>
            </w:pPr>
            <w:r>
              <w:rPr>
                <w:sz w:val="18"/>
                <w:szCs w:val="18"/>
              </w:rPr>
              <w:t>17</w:t>
            </w:r>
          </w:p>
          <w:p w:rsidR="00FE25AB" w:rsidRDefault="00FE25AB">
            <w:pPr>
              <w:pStyle w:val="Subsection"/>
              <w:jc w:val="center"/>
              <w:rPr>
                <w:sz w:val="18"/>
                <w:szCs w:val="18"/>
              </w:rPr>
            </w:pPr>
            <w:r>
              <w:rPr>
                <w:sz w:val="18"/>
                <w:szCs w:val="18"/>
              </w:rPr>
              <w:t>£000</w:t>
            </w:r>
          </w:p>
        </w:tc>
        <w:tc>
          <w:tcPr>
            <w:tcW w:w="992" w:type="dxa"/>
            <w:shd w:val="clear" w:color="auto" w:fill="D9D9D9"/>
            <w:vAlign w:val="center"/>
          </w:tcPr>
          <w:p w:rsidR="00FE25AB" w:rsidRDefault="00FE25AB">
            <w:pPr>
              <w:pStyle w:val="Subsection"/>
              <w:jc w:val="center"/>
              <w:rPr>
                <w:sz w:val="18"/>
                <w:szCs w:val="18"/>
              </w:rPr>
            </w:pPr>
            <w:r>
              <w:rPr>
                <w:sz w:val="18"/>
                <w:szCs w:val="18"/>
              </w:rPr>
              <w:t>2017/</w:t>
            </w:r>
          </w:p>
          <w:p w:rsidR="00FE25AB" w:rsidRDefault="00FE25AB">
            <w:pPr>
              <w:pStyle w:val="Subsection"/>
              <w:jc w:val="center"/>
              <w:rPr>
                <w:sz w:val="18"/>
                <w:szCs w:val="18"/>
              </w:rPr>
            </w:pPr>
            <w:r>
              <w:rPr>
                <w:sz w:val="18"/>
                <w:szCs w:val="18"/>
              </w:rPr>
              <w:t>18</w:t>
            </w:r>
          </w:p>
          <w:p w:rsidR="00FE25AB" w:rsidRDefault="00FE25AB">
            <w:pPr>
              <w:pStyle w:val="Subsection"/>
              <w:jc w:val="center"/>
              <w:rPr>
                <w:sz w:val="18"/>
                <w:szCs w:val="18"/>
              </w:rPr>
            </w:pPr>
            <w:r>
              <w:rPr>
                <w:sz w:val="18"/>
                <w:szCs w:val="18"/>
              </w:rPr>
              <w:t>£000</w:t>
            </w:r>
          </w:p>
        </w:tc>
        <w:tc>
          <w:tcPr>
            <w:tcW w:w="850" w:type="dxa"/>
            <w:shd w:val="clear" w:color="auto" w:fill="D9D9D9"/>
            <w:vAlign w:val="center"/>
          </w:tcPr>
          <w:p w:rsidR="00FE25AB" w:rsidRDefault="00FE25AB">
            <w:pPr>
              <w:pStyle w:val="Subsection"/>
              <w:jc w:val="center"/>
              <w:rPr>
                <w:sz w:val="18"/>
                <w:szCs w:val="18"/>
              </w:rPr>
            </w:pPr>
            <w:r>
              <w:rPr>
                <w:sz w:val="18"/>
                <w:szCs w:val="18"/>
              </w:rPr>
              <w:t>2018/</w:t>
            </w:r>
          </w:p>
          <w:p w:rsidR="00FE25AB" w:rsidRDefault="00FE25AB">
            <w:pPr>
              <w:pStyle w:val="Subsection"/>
              <w:jc w:val="center"/>
              <w:rPr>
                <w:sz w:val="18"/>
                <w:szCs w:val="18"/>
              </w:rPr>
            </w:pPr>
            <w:r>
              <w:rPr>
                <w:sz w:val="18"/>
                <w:szCs w:val="18"/>
              </w:rPr>
              <w:t>19</w:t>
            </w:r>
          </w:p>
          <w:p w:rsidR="00FE25AB" w:rsidRDefault="00FE25AB">
            <w:pPr>
              <w:pStyle w:val="Subsection"/>
              <w:jc w:val="center"/>
              <w:rPr>
                <w:sz w:val="18"/>
                <w:szCs w:val="18"/>
              </w:rPr>
            </w:pPr>
            <w:r>
              <w:rPr>
                <w:sz w:val="18"/>
                <w:szCs w:val="18"/>
              </w:rPr>
              <w:t>£000</w:t>
            </w:r>
          </w:p>
        </w:tc>
        <w:tc>
          <w:tcPr>
            <w:tcW w:w="808" w:type="dxa"/>
            <w:shd w:val="clear" w:color="auto" w:fill="D9D9D9"/>
            <w:vAlign w:val="center"/>
          </w:tcPr>
          <w:p w:rsidR="00FE25AB" w:rsidRDefault="00FE25AB">
            <w:pPr>
              <w:pStyle w:val="Subsection"/>
              <w:jc w:val="center"/>
              <w:rPr>
                <w:sz w:val="18"/>
                <w:szCs w:val="18"/>
              </w:rPr>
            </w:pPr>
            <w:r>
              <w:rPr>
                <w:sz w:val="18"/>
                <w:szCs w:val="18"/>
              </w:rPr>
              <w:t>2019/</w:t>
            </w:r>
          </w:p>
          <w:p w:rsidR="00FE25AB" w:rsidRDefault="00FE25AB">
            <w:pPr>
              <w:pStyle w:val="Subsection"/>
              <w:jc w:val="center"/>
              <w:rPr>
                <w:sz w:val="18"/>
                <w:szCs w:val="18"/>
              </w:rPr>
            </w:pPr>
            <w:r>
              <w:rPr>
                <w:sz w:val="18"/>
                <w:szCs w:val="18"/>
              </w:rPr>
              <w:t>20</w:t>
            </w:r>
          </w:p>
          <w:p w:rsidR="00FE25AB" w:rsidRDefault="00FE25AB">
            <w:pPr>
              <w:pStyle w:val="Subsection"/>
              <w:jc w:val="center"/>
              <w:rPr>
                <w:sz w:val="18"/>
                <w:szCs w:val="18"/>
              </w:rPr>
            </w:pPr>
            <w:r>
              <w:rPr>
                <w:sz w:val="18"/>
                <w:szCs w:val="18"/>
              </w:rPr>
              <w:t>£000</w:t>
            </w:r>
          </w:p>
        </w:tc>
      </w:tr>
      <w:tr w:rsidR="00FE25AB">
        <w:trPr>
          <w:trHeight w:val="284"/>
        </w:trPr>
        <w:tc>
          <w:tcPr>
            <w:tcW w:w="2785" w:type="dxa"/>
            <w:vAlign w:val="center"/>
          </w:tcPr>
          <w:p w:rsidR="00FE25AB" w:rsidRDefault="00FE25AB">
            <w:pPr>
              <w:pStyle w:val="Subsection"/>
              <w:rPr>
                <w:b w:val="0"/>
                <w:bCs w:val="0"/>
              </w:rPr>
            </w:pPr>
            <w:r>
              <w:rPr>
                <w:b w:val="0"/>
                <w:bCs w:val="0"/>
              </w:rPr>
              <w:t xml:space="preserve">Procurement </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993" w:type="dxa"/>
            <w:vAlign w:val="center"/>
          </w:tcPr>
          <w:p w:rsidR="00FE25AB" w:rsidRDefault="00FE25AB">
            <w:pPr>
              <w:pStyle w:val="Subsection"/>
              <w:jc w:val="center"/>
              <w:rPr>
                <w:b w:val="0"/>
                <w:bCs w:val="0"/>
                <w:i/>
                <w:iCs/>
              </w:rPr>
            </w:pPr>
            <w:r>
              <w:rPr>
                <w:b w:val="0"/>
                <w:bCs w:val="0"/>
                <w:i/>
                <w:iCs/>
              </w:rPr>
              <w:t>50</w:t>
            </w: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rPr>
            </w:pPr>
          </w:p>
        </w:tc>
      </w:tr>
      <w:tr w:rsidR="00FE25AB">
        <w:trPr>
          <w:trHeight w:val="284"/>
        </w:trPr>
        <w:tc>
          <w:tcPr>
            <w:tcW w:w="2785" w:type="dxa"/>
            <w:vAlign w:val="center"/>
          </w:tcPr>
          <w:p w:rsidR="00FE25AB" w:rsidRDefault="00FE25AB">
            <w:pPr>
              <w:pStyle w:val="Subsection"/>
              <w:rPr>
                <w:b w:val="0"/>
                <w:bCs w:val="0"/>
              </w:rPr>
            </w:pPr>
            <w:r>
              <w:rPr>
                <w:b w:val="0"/>
                <w:bCs w:val="0"/>
              </w:rPr>
              <w:t xml:space="preserve">Feasibility </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r>
              <w:rPr>
                <w:b w:val="0"/>
                <w:bCs w:val="0"/>
                <w:i/>
                <w:iCs/>
              </w:rPr>
              <w:t>50</w:t>
            </w:r>
          </w:p>
        </w:tc>
        <w:tc>
          <w:tcPr>
            <w:tcW w:w="993" w:type="dxa"/>
            <w:vAlign w:val="center"/>
          </w:tcPr>
          <w:p w:rsidR="00FE25AB" w:rsidRDefault="00FE25AB">
            <w:pPr>
              <w:pStyle w:val="Subsection"/>
              <w:jc w:val="center"/>
              <w:rPr>
                <w:b w:val="0"/>
                <w:bCs w:val="0"/>
                <w:i/>
                <w:iCs/>
              </w:rPr>
            </w:pP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rPr>
            </w:pPr>
          </w:p>
        </w:tc>
      </w:tr>
      <w:tr w:rsidR="00FE25AB">
        <w:trPr>
          <w:trHeight w:val="284"/>
        </w:trPr>
        <w:tc>
          <w:tcPr>
            <w:tcW w:w="2785" w:type="dxa"/>
            <w:vAlign w:val="center"/>
          </w:tcPr>
          <w:p w:rsidR="00FE25AB" w:rsidRDefault="00FE25AB">
            <w:pPr>
              <w:pStyle w:val="Subsection"/>
              <w:rPr>
                <w:b w:val="0"/>
                <w:bCs w:val="0"/>
              </w:rPr>
            </w:pPr>
            <w:r>
              <w:rPr>
                <w:b w:val="0"/>
                <w:bCs w:val="0"/>
              </w:rPr>
              <w:t xml:space="preserve">Detail Design </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r>
              <w:rPr>
                <w:b w:val="0"/>
                <w:bCs w:val="0"/>
                <w:i/>
                <w:iCs/>
              </w:rPr>
              <w:t>100</w:t>
            </w:r>
          </w:p>
        </w:tc>
        <w:tc>
          <w:tcPr>
            <w:tcW w:w="993" w:type="dxa"/>
            <w:vAlign w:val="center"/>
          </w:tcPr>
          <w:p w:rsidR="00FE25AB" w:rsidRDefault="00FE25AB">
            <w:pPr>
              <w:pStyle w:val="Subsection"/>
              <w:jc w:val="center"/>
              <w:rPr>
                <w:b w:val="0"/>
                <w:bCs w:val="0"/>
                <w:i/>
                <w:iCs/>
              </w:rPr>
            </w:pPr>
            <w:r>
              <w:rPr>
                <w:b w:val="0"/>
                <w:bCs w:val="0"/>
                <w:i/>
                <w:iCs/>
              </w:rPr>
              <w:t>200</w:t>
            </w: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rPr>
            </w:pPr>
          </w:p>
        </w:tc>
      </w:tr>
      <w:tr w:rsidR="00FE25AB">
        <w:trPr>
          <w:trHeight w:val="284"/>
        </w:trPr>
        <w:tc>
          <w:tcPr>
            <w:tcW w:w="2785" w:type="dxa"/>
            <w:vAlign w:val="center"/>
          </w:tcPr>
          <w:p w:rsidR="00FE25AB" w:rsidRDefault="00FE25AB">
            <w:pPr>
              <w:pStyle w:val="Subsection"/>
              <w:rPr>
                <w:b w:val="0"/>
                <w:bCs w:val="0"/>
              </w:rPr>
            </w:pPr>
            <w:r>
              <w:rPr>
                <w:b w:val="0"/>
                <w:bCs w:val="0"/>
              </w:rPr>
              <w:t xml:space="preserve">Engineering </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993" w:type="dxa"/>
            <w:vAlign w:val="center"/>
          </w:tcPr>
          <w:p w:rsidR="00FE25AB" w:rsidRDefault="00FE25AB">
            <w:pPr>
              <w:pStyle w:val="Subsection"/>
              <w:jc w:val="center"/>
              <w:rPr>
                <w:b w:val="0"/>
                <w:bCs w:val="0"/>
                <w:i/>
                <w:iCs/>
              </w:rPr>
            </w:pPr>
            <w:r>
              <w:rPr>
                <w:b w:val="0"/>
                <w:bCs w:val="0"/>
                <w:i/>
                <w:iCs/>
              </w:rPr>
              <w:t>100</w:t>
            </w: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rPr>
            </w:pPr>
          </w:p>
        </w:tc>
      </w:tr>
      <w:tr w:rsidR="00FE25AB">
        <w:trPr>
          <w:trHeight w:val="284"/>
        </w:trPr>
        <w:tc>
          <w:tcPr>
            <w:tcW w:w="2785" w:type="dxa"/>
            <w:vAlign w:val="center"/>
          </w:tcPr>
          <w:p w:rsidR="00FE25AB" w:rsidRDefault="00FE25AB">
            <w:pPr>
              <w:pStyle w:val="Subsection"/>
              <w:rPr>
                <w:b w:val="0"/>
                <w:bCs w:val="0"/>
              </w:rPr>
            </w:pPr>
            <w:r>
              <w:rPr>
                <w:b w:val="0"/>
                <w:bCs w:val="0"/>
              </w:rPr>
              <w:t xml:space="preserve">Equipment </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r>
              <w:rPr>
                <w:b w:val="0"/>
                <w:bCs w:val="0"/>
                <w:i/>
                <w:iCs/>
              </w:rPr>
              <w:t>50</w:t>
            </w:r>
          </w:p>
        </w:tc>
        <w:tc>
          <w:tcPr>
            <w:tcW w:w="993" w:type="dxa"/>
            <w:vAlign w:val="center"/>
          </w:tcPr>
          <w:p w:rsidR="00FE25AB" w:rsidRDefault="00FE25AB">
            <w:pPr>
              <w:pStyle w:val="Subsection"/>
              <w:jc w:val="center"/>
              <w:rPr>
                <w:b w:val="0"/>
                <w:bCs w:val="0"/>
                <w:i/>
                <w:iCs/>
              </w:rPr>
            </w:pPr>
            <w:r>
              <w:rPr>
                <w:b w:val="0"/>
                <w:bCs w:val="0"/>
                <w:i/>
                <w:iCs/>
              </w:rPr>
              <w:t>50</w:t>
            </w: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rPr>
            </w:pPr>
          </w:p>
        </w:tc>
      </w:tr>
      <w:tr w:rsidR="00FE25AB">
        <w:trPr>
          <w:trHeight w:val="284"/>
        </w:trPr>
        <w:tc>
          <w:tcPr>
            <w:tcW w:w="2785" w:type="dxa"/>
            <w:vAlign w:val="center"/>
          </w:tcPr>
          <w:p w:rsidR="00FE25AB" w:rsidRDefault="00FE25AB">
            <w:pPr>
              <w:pStyle w:val="Subsection"/>
              <w:rPr>
                <w:b w:val="0"/>
                <w:bCs w:val="0"/>
              </w:rPr>
            </w:pPr>
            <w:r>
              <w:rPr>
                <w:b w:val="0"/>
                <w:bCs w:val="0"/>
              </w:rPr>
              <w:t xml:space="preserve">Construction LGF (excluding </w:t>
            </w:r>
            <w:proofErr w:type="spellStart"/>
            <w:r>
              <w:rPr>
                <w:b w:val="0"/>
                <w:bCs w:val="0"/>
              </w:rPr>
              <w:t>Strood</w:t>
            </w:r>
            <w:proofErr w:type="spellEnd"/>
            <w:r>
              <w:rPr>
                <w:b w:val="0"/>
                <w:bCs w:val="0"/>
              </w:rPr>
              <w:t xml:space="preserve"> </w:t>
            </w:r>
            <w:proofErr w:type="spellStart"/>
            <w:r>
              <w:rPr>
                <w:b w:val="0"/>
                <w:bCs w:val="0"/>
              </w:rPr>
              <w:t>stn</w:t>
            </w:r>
            <w:proofErr w:type="spellEnd"/>
            <w:r>
              <w:rPr>
                <w:b w:val="0"/>
                <w:bCs w:val="0"/>
              </w:rPr>
              <w:t>)</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993" w:type="dxa"/>
            <w:vAlign w:val="center"/>
          </w:tcPr>
          <w:p w:rsidR="00FE25AB" w:rsidRDefault="00FE25AB">
            <w:pPr>
              <w:pStyle w:val="Subsection"/>
              <w:rPr>
                <w:b w:val="0"/>
                <w:bCs w:val="0"/>
                <w:i/>
                <w:iCs/>
              </w:rPr>
            </w:pPr>
          </w:p>
        </w:tc>
        <w:tc>
          <w:tcPr>
            <w:tcW w:w="992" w:type="dxa"/>
            <w:vAlign w:val="center"/>
          </w:tcPr>
          <w:p w:rsidR="00FE25AB" w:rsidRDefault="00FE25AB">
            <w:pPr>
              <w:pStyle w:val="Subsection"/>
              <w:jc w:val="center"/>
              <w:rPr>
                <w:b w:val="0"/>
                <w:bCs w:val="0"/>
                <w:i/>
                <w:iCs/>
              </w:rPr>
            </w:pPr>
            <w:r>
              <w:rPr>
                <w:b w:val="0"/>
                <w:bCs w:val="0"/>
                <w:i/>
                <w:iCs/>
              </w:rPr>
              <w:t>6650</w:t>
            </w:r>
          </w:p>
        </w:tc>
        <w:tc>
          <w:tcPr>
            <w:tcW w:w="850" w:type="dxa"/>
            <w:vAlign w:val="center"/>
          </w:tcPr>
          <w:p w:rsidR="00FE25AB" w:rsidRDefault="00FE25AB">
            <w:pPr>
              <w:pStyle w:val="Subsection"/>
              <w:jc w:val="center"/>
              <w:rPr>
                <w:b w:val="0"/>
                <w:bCs w:val="0"/>
                <w:i/>
                <w:iCs/>
              </w:rPr>
            </w:pPr>
            <w:r>
              <w:rPr>
                <w:b w:val="0"/>
                <w:bCs w:val="0"/>
                <w:i/>
                <w:iCs/>
              </w:rPr>
              <w:t>450</w:t>
            </w:r>
          </w:p>
        </w:tc>
        <w:tc>
          <w:tcPr>
            <w:tcW w:w="808" w:type="dxa"/>
            <w:vAlign w:val="center"/>
          </w:tcPr>
          <w:p w:rsidR="00FE25AB" w:rsidRDefault="00FE25AB">
            <w:pPr>
              <w:pStyle w:val="Subsection"/>
              <w:jc w:val="center"/>
              <w:rPr>
                <w:b w:val="0"/>
                <w:bCs w:val="0"/>
                <w:i/>
                <w:iCs/>
              </w:rPr>
            </w:pPr>
          </w:p>
        </w:tc>
      </w:tr>
      <w:tr w:rsidR="00FE25AB">
        <w:trPr>
          <w:trHeight w:val="284"/>
        </w:trPr>
        <w:tc>
          <w:tcPr>
            <w:tcW w:w="2785" w:type="dxa"/>
            <w:vAlign w:val="center"/>
          </w:tcPr>
          <w:p w:rsidR="00FE25AB" w:rsidRDefault="00FE25AB">
            <w:pPr>
              <w:pStyle w:val="Subsection"/>
              <w:rPr>
                <w:b w:val="0"/>
                <w:bCs w:val="0"/>
              </w:rPr>
            </w:pPr>
            <w:r>
              <w:rPr>
                <w:b w:val="0"/>
                <w:bCs w:val="0"/>
              </w:rPr>
              <w:t>Construction LGF (</w:t>
            </w:r>
            <w:proofErr w:type="spellStart"/>
            <w:r>
              <w:rPr>
                <w:b w:val="0"/>
                <w:bCs w:val="0"/>
              </w:rPr>
              <w:t>Strood</w:t>
            </w:r>
            <w:proofErr w:type="spellEnd"/>
            <w:r>
              <w:rPr>
                <w:b w:val="0"/>
                <w:bCs w:val="0"/>
              </w:rPr>
              <w:t xml:space="preserve"> </w:t>
            </w:r>
            <w:proofErr w:type="spellStart"/>
            <w:r>
              <w:rPr>
                <w:b w:val="0"/>
                <w:bCs w:val="0"/>
              </w:rPr>
              <w:t>Stn</w:t>
            </w:r>
            <w:proofErr w:type="spellEnd"/>
            <w:r>
              <w:rPr>
                <w:b w:val="0"/>
                <w:bCs w:val="0"/>
              </w:rPr>
              <w:t>)</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993" w:type="dxa"/>
            <w:vAlign w:val="center"/>
          </w:tcPr>
          <w:p w:rsidR="00FE25AB" w:rsidRDefault="00FE25AB">
            <w:pPr>
              <w:pStyle w:val="Subsection"/>
              <w:jc w:val="center"/>
              <w:rPr>
                <w:b w:val="0"/>
                <w:bCs w:val="0"/>
                <w:i/>
                <w:iCs/>
              </w:rPr>
            </w:pPr>
            <w:r>
              <w:rPr>
                <w:b w:val="0"/>
                <w:bCs w:val="0"/>
                <w:i/>
                <w:iCs/>
              </w:rPr>
              <w:t>1250</w:t>
            </w: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color w:val="E36C0A"/>
              </w:rPr>
            </w:pPr>
          </w:p>
        </w:tc>
      </w:tr>
      <w:tr w:rsidR="00FE25AB">
        <w:trPr>
          <w:trHeight w:val="284"/>
        </w:trPr>
        <w:tc>
          <w:tcPr>
            <w:tcW w:w="2785" w:type="dxa"/>
            <w:vAlign w:val="center"/>
          </w:tcPr>
          <w:p w:rsidR="00FE25AB" w:rsidRDefault="00FE25AB">
            <w:pPr>
              <w:pStyle w:val="Subsection"/>
              <w:rPr>
                <w:b w:val="0"/>
                <w:bCs w:val="0"/>
              </w:rPr>
            </w:pPr>
            <w:r>
              <w:rPr>
                <w:b w:val="0"/>
                <w:bCs w:val="0"/>
              </w:rPr>
              <w:t>Construction NR (</w:t>
            </w:r>
            <w:proofErr w:type="spellStart"/>
            <w:r>
              <w:rPr>
                <w:b w:val="0"/>
                <w:bCs w:val="0"/>
              </w:rPr>
              <w:t>Strood</w:t>
            </w:r>
            <w:proofErr w:type="spellEnd"/>
            <w:r>
              <w:rPr>
                <w:b w:val="0"/>
                <w:bCs w:val="0"/>
              </w:rPr>
              <w:t xml:space="preserve"> </w:t>
            </w:r>
            <w:proofErr w:type="spellStart"/>
            <w:r>
              <w:rPr>
                <w:b w:val="0"/>
                <w:bCs w:val="0"/>
              </w:rPr>
              <w:t>stn</w:t>
            </w:r>
            <w:proofErr w:type="spellEnd"/>
            <w:r>
              <w:rPr>
                <w:b w:val="0"/>
                <w:bCs w:val="0"/>
              </w:rPr>
              <w:t>)</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r>
              <w:rPr>
                <w:b w:val="0"/>
                <w:bCs w:val="0"/>
                <w:i/>
                <w:iCs/>
              </w:rPr>
              <w:t>250</w:t>
            </w:r>
          </w:p>
        </w:tc>
        <w:tc>
          <w:tcPr>
            <w:tcW w:w="993" w:type="dxa"/>
            <w:vAlign w:val="center"/>
          </w:tcPr>
          <w:p w:rsidR="00FE25AB" w:rsidRDefault="00FE25AB">
            <w:pPr>
              <w:pStyle w:val="Subsection"/>
              <w:jc w:val="center"/>
              <w:rPr>
                <w:b w:val="0"/>
                <w:bCs w:val="0"/>
                <w:i/>
                <w:iCs/>
              </w:rPr>
            </w:pPr>
            <w:r>
              <w:rPr>
                <w:b w:val="0"/>
                <w:bCs w:val="0"/>
                <w:i/>
                <w:iCs/>
              </w:rPr>
              <w:t>1000</w:t>
            </w: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color w:val="E36C0A"/>
              </w:rPr>
            </w:pPr>
          </w:p>
        </w:tc>
      </w:tr>
      <w:tr w:rsidR="00FE25AB">
        <w:trPr>
          <w:trHeight w:val="284"/>
        </w:trPr>
        <w:tc>
          <w:tcPr>
            <w:tcW w:w="2785" w:type="dxa"/>
            <w:vAlign w:val="center"/>
          </w:tcPr>
          <w:p w:rsidR="00FE25AB" w:rsidRDefault="00FE25AB">
            <w:pPr>
              <w:pStyle w:val="Subsection"/>
              <w:rPr>
                <w:b w:val="0"/>
                <w:bCs w:val="0"/>
              </w:rPr>
            </w:pPr>
            <w:r>
              <w:rPr>
                <w:b w:val="0"/>
                <w:bCs w:val="0"/>
              </w:rPr>
              <w:t>Construction (developer)</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993" w:type="dxa"/>
            <w:vAlign w:val="center"/>
          </w:tcPr>
          <w:p w:rsidR="00FE25AB" w:rsidRDefault="00FE25AB">
            <w:pPr>
              <w:pStyle w:val="Subsection"/>
              <w:jc w:val="center"/>
              <w:rPr>
                <w:b w:val="0"/>
                <w:bCs w:val="0"/>
                <w:i/>
                <w:iCs/>
              </w:rPr>
            </w:pPr>
          </w:p>
        </w:tc>
        <w:tc>
          <w:tcPr>
            <w:tcW w:w="992" w:type="dxa"/>
            <w:vAlign w:val="center"/>
          </w:tcPr>
          <w:p w:rsidR="00FE25AB" w:rsidRDefault="00FE25AB">
            <w:pPr>
              <w:pStyle w:val="Subsection"/>
              <w:jc w:val="center"/>
              <w:rPr>
                <w:b w:val="0"/>
                <w:bCs w:val="0"/>
                <w:i/>
                <w:iCs/>
              </w:rPr>
            </w:pPr>
            <w:r>
              <w:rPr>
                <w:b w:val="0"/>
                <w:bCs w:val="0"/>
                <w:i/>
                <w:iCs/>
              </w:rPr>
              <w:t>2,500</w:t>
            </w:r>
          </w:p>
        </w:tc>
        <w:tc>
          <w:tcPr>
            <w:tcW w:w="850" w:type="dxa"/>
            <w:vAlign w:val="center"/>
          </w:tcPr>
          <w:p w:rsidR="00FE25AB" w:rsidRDefault="00FE25AB">
            <w:pPr>
              <w:pStyle w:val="Subsection"/>
              <w:jc w:val="center"/>
              <w:rPr>
                <w:b w:val="0"/>
                <w:bCs w:val="0"/>
                <w:i/>
                <w:iCs/>
              </w:rPr>
            </w:pPr>
          </w:p>
        </w:tc>
        <w:tc>
          <w:tcPr>
            <w:tcW w:w="808" w:type="dxa"/>
            <w:vAlign w:val="center"/>
          </w:tcPr>
          <w:p w:rsidR="00FE25AB" w:rsidRDefault="00FE25AB">
            <w:pPr>
              <w:pStyle w:val="Subsection"/>
              <w:jc w:val="center"/>
              <w:rPr>
                <w:b w:val="0"/>
                <w:bCs w:val="0"/>
                <w:i/>
                <w:iCs/>
                <w:color w:val="E36C0A"/>
              </w:rPr>
            </w:pPr>
          </w:p>
        </w:tc>
      </w:tr>
      <w:tr w:rsidR="00FE25AB">
        <w:trPr>
          <w:trHeight w:val="284"/>
        </w:trPr>
        <w:tc>
          <w:tcPr>
            <w:tcW w:w="2785" w:type="dxa"/>
            <w:vAlign w:val="center"/>
          </w:tcPr>
          <w:p w:rsidR="00FE25AB" w:rsidRDefault="00FE25AB">
            <w:pPr>
              <w:pStyle w:val="Subsection"/>
              <w:rPr>
                <w:b w:val="0"/>
                <w:bCs w:val="0"/>
              </w:rPr>
            </w:pPr>
            <w:r>
              <w:rPr>
                <w:b w:val="0"/>
                <w:bCs w:val="0"/>
              </w:rPr>
              <w:t>Audit Cost</w:t>
            </w:r>
          </w:p>
        </w:tc>
        <w:tc>
          <w:tcPr>
            <w:tcW w:w="617" w:type="dxa"/>
            <w:vAlign w:val="center"/>
          </w:tcPr>
          <w:p w:rsidR="00FE25AB" w:rsidRDefault="00FE25AB">
            <w:pPr>
              <w:pStyle w:val="Subsection"/>
              <w:jc w:val="center"/>
              <w:rPr>
                <w:b w:val="0"/>
                <w:bCs w:val="0"/>
                <w:i/>
                <w:iCs/>
              </w:rPr>
            </w:pPr>
            <w:r>
              <w:rPr>
                <w:b w:val="0"/>
                <w:bCs w:val="0"/>
                <w:i/>
                <w:iCs/>
              </w:rPr>
              <w:t>E</w:t>
            </w:r>
          </w:p>
        </w:tc>
        <w:tc>
          <w:tcPr>
            <w:tcW w:w="709"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p>
        </w:tc>
        <w:tc>
          <w:tcPr>
            <w:tcW w:w="993" w:type="dxa"/>
            <w:vAlign w:val="center"/>
          </w:tcPr>
          <w:p w:rsidR="00FE25AB" w:rsidRDefault="00FE25AB">
            <w:pPr>
              <w:pStyle w:val="Subsection"/>
              <w:jc w:val="center"/>
              <w:rPr>
                <w:b w:val="0"/>
                <w:bCs w:val="0"/>
                <w:i/>
                <w:iCs/>
              </w:rPr>
            </w:pPr>
          </w:p>
        </w:tc>
        <w:tc>
          <w:tcPr>
            <w:tcW w:w="992" w:type="dxa"/>
            <w:vAlign w:val="center"/>
          </w:tcPr>
          <w:p w:rsidR="00FE25AB" w:rsidRDefault="00FE25AB">
            <w:pPr>
              <w:pStyle w:val="Subsection"/>
              <w:jc w:val="center"/>
              <w:rPr>
                <w:b w:val="0"/>
                <w:bCs w:val="0"/>
                <w:i/>
                <w:iCs/>
              </w:rPr>
            </w:pPr>
          </w:p>
        </w:tc>
        <w:tc>
          <w:tcPr>
            <w:tcW w:w="850" w:type="dxa"/>
            <w:vAlign w:val="center"/>
          </w:tcPr>
          <w:p w:rsidR="00FE25AB" w:rsidRDefault="00FE25AB">
            <w:pPr>
              <w:pStyle w:val="Subsection"/>
              <w:jc w:val="center"/>
              <w:rPr>
                <w:b w:val="0"/>
                <w:bCs w:val="0"/>
                <w:i/>
                <w:iCs/>
              </w:rPr>
            </w:pPr>
            <w:r>
              <w:rPr>
                <w:b w:val="0"/>
                <w:bCs w:val="0"/>
                <w:i/>
                <w:iCs/>
              </w:rPr>
              <w:t>50</w:t>
            </w:r>
          </w:p>
        </w:tc>
        <w:tc>
          <w:tcPr>
            <w:tcW w:w="808" w:type="dxa"/>
            <w:vAlign w:val="center"/>
          </w:tcPr>
          <w:p w:rsidR="00FE25AB" w:rsidRDefault="00FE25AB">
            <w:pPr>
              <w:pStyle w:val="Subsection"/>
              <w:jc w:val="center"/>
              <w:rPr>
                <w:b w:val="0"/>
                <w:bCs w:val="0"/>
                <w:i/>
                <w:iCs/>
                <w:color w:val="E36C0A"/>
              </w:rPr>
            </w:pPr>
          </w:p>
        </w:tc>
      </w:tr>
      <w:tr w:rsidR="00FE25AB">
        <w:trPr>
          <w:trHeight w:val="284"/>
        </w:trPr>
        <w:tc>
          <w:tcPr>
            <w:tcW w:w="2785" w:type="dxa"/>
            <w:tcBorders>
              <w:top w:val="single" w:sz="12" w:space="0" w:color="auto"/>
              <w:bottom w:val="single" w:sz="12" w:space="0" w:color="auto"/>
            </w:tcBorders>
            <w:vAlign w:val="center"/>
          </w:tcPr>
          <w:p w:rsidR="00FE25AB" w:rsidRDefault="00FE25AB">
            <w:pPr>
              <w:pStyle w:val="Subsection"/>
            </w:pPr>
            <w:r>
              <w:t>VAT</w:t>
            </w:r>
          </w:p>
        </w:tc>
        <w:tc>
          <w:tcPr>
            <w:tcW w:w="617" w:type="dxa"/>
            <w:tcBorders>
              <w:top w:val="single" w:sz="12" w:space="0" w:color="auto"/>
              <w:bottom w:val="single" w:sz="12" w:space="0" w:color="auto"/>
            </w:tcBorders>
            <w:vAlign w:val="center"/>
          </w:tcPr>
          <w:p w:rsidR="00FE25AB" w:rsidRDefault="00FE25AB">
            <w:pPr>
              <w:pStyle w:val="Subsection"/>
              <w:jc w:val="center"/>
            </w:pPr>
          </w:p>
        </w:tc>
        <w:tc>
          <w:tcPr>
            <w:tcW w:w="709" w:type="dxa"/>
            <w:tcBorders>
              <w:top w:val="single" w:sz="12" w:space="0" w:color="auto"/>
              <w:bottom w:val="single" w:sz="12" w:space="0" w:color="auto"/>
            </w:tcBorders>
            <w:vAlign w:val="center"/>
          </w:tcPr>
          <w:p w:rsidR="00FE25AB" w:rsidRDefault="00FE25AB">
            <w:pPr>
              <w:pStyle w:val="Subsection"/>
              <w:jc w:val="center"/>
            </w:pPr>
          </w:p>
        </w:tc>
        <w:tc>
          <w:tcPr>
            <w:tcW w:w="850" w:type="dxa"/>
            <w:tcBorders>
              <w:top w:val="single" w:sz="12" w:space="0" w:color="auto"/>
              <w:bottom w:val="single" w:sz="12" w:space="0" w:color="auto"/>
            </w:tcBorders>
            <w:vAlign w:val="center"/>
          </w:tcPr>
          <w:p w:rsidR="00FE25AB" w:rsidRDefault="00FE25AB">
            <w:pPr>
              <w:pStyle w:val="Subsection"/>
              <w:jc w:val="center"/>
            </w:pPr>
          </w:p>
        </w:tc>
        <w:tc>
          <w:tcPr>
            <w:tcW w:w="993" w:type="dxa"/>
            <w:tcBorders>
              <w:top w:val="single" w:sz="12" w:space="0" w:color="auto"/>
              <w:bottom w:val="single" w:sz="12" w:space="0" w:color="auto"/>
            </w:tcBorders>
            <w:vAlign w:val="center"/>
          </w:tcPr>
          <w:p w:rsidR="00FE25AB" w:rsidRDefault="00FE25AB">
            <w:pPr>
              <w:pStyle w:val="Subsection"/>
              <w:jc w:val="center"/>
            </w:pPr>
          </w:p>
        </w:tc>
        <w:tc>
          <w:tcPr>
            <w:tcW w:w="992" w:type="dxa"/>
            <w:tcBorders>
              <w:top w:val="single" w:sz="12" w:space="0" w:color="auto"/>
              <w:bottom w:val="single" w:sz="12" w:space="0" w:color="auto"/>
            </w:tcBorders>
            <w:vAlign w:val="center"/>
          </w:tcPr>
          <w:p w:rsidR="00FE25AB" w:rsidRDefault="00FE25AB">
            <w:pPr>
              <w:pStyle w:val="Subsection"/>
              <w:jc w:val="center"/>
            </w:pPr>
          </w:p>
        </w:tc>
        <w:tc>
          <w:tcPr>
            <w:tcW w:w="850" w:type="dxa"/>
            <w:tcBorders>
              <w:top w:val="single" w:sz="12" w:space="0" w:color="auto"/>
              <w:bottom w:val="single" w:sz="12" w:space="0" w:color="auto"/>
            </w:tcBorders>
            <w:vAlign w:val="center"/>
          </w:tcPr>
          <w:p w:rsidR="00FE25AB" w:rsidRDefault="00FE25AB">
            <w:pPr>
              <w:pStyle w:val="Subsection"/>
              <w:jc w:val="center"/>
            </w:pPr>
          </w:p>
        </w:tc>
        <w:tc>
          <w:tcPr>
            <w:tcW w:w="808" w:type="dxa"/>
            <w:tcBorders>
              <w:top w:val="single" w:sz="12" w:space="0" w:color="auto"/>
              <w:bottom w:val="single" w:sz="12" w:space="0" w:color="auto"/>
            </w:tcBorders>
            <w:vAlign w:val="center"/>
          </w:tcPr>
          <w:p w:rsidR="00FE25AB" w:rsidRDefault="00FE25AB">
            <w:pPr>
              <w:pStyle w:val="Subsection"/>
              <w:jc w:val="center"/>
              <w:rPr>
                <w:color w:val="E36C0A"/>
              </w:rPr>
            </w:pPr>
          </w:p>
        </w:tc>
      </w:tr>
      <w:tr w:rsidR="00FE25AB">
        <w:trPr>
          <w:trHeight w:val="284"/>
        </w:trPr>
        <w:tc>
          <w:tcPr>
            <w:tcW w:w="2785" w:type="dxa"/>
            <w:tcBorders>
              <w:top w:val="single" w:sz="12" w:space="0" w:color="auto"/>
              <w:bottom w:val="single" w:sz="12" w:space="0" w:color="auto"/>
            </w:tcBorders>
            <w:vAlign w:val="center"/>
          </w:tcPr>
          <w:p w:rsidR="00FE25AB" w:rsidRDefault="00FE25AB">
            <w:pPr>
              <w:pStyle w:val="Subsection"/>
            </w:pPr>
            <w:r>
              <w:t>TOTAL COST</w:t>
            </w:r>
          </w:p>
        </w:tc>
        <w:tc>
          <w:tcPr>
            <w:tcW w:w="617" w:type="dxa"/>
            <w:tcBorders>
              <w:top w:val="single" w:sz="12" w:space="0" w:color="auto"/>
              <w:bottom w:val="single" w:sz="12" w:space="0" w:color="auto"/>
            </w:tcBorders>
            <w:vAlign w:val="center"/>
          </w:tcPr>
          <w:p w:rsidR="00FE25AB" w:rsidRDefault="00FE25AB">
            <w:pPr>
              <w:pStyle w:val="Subsection"/>
              <w:jc w:val="center"/>
            </w:pPr>
          </w:p>
        </w:tc>
        <w:tc>
          <w:tcPr>
            <w:tcW w:w="709" w:type="dxa"/>
            <w:tcBorders>
              <w:top w:val="single" w:sz="12" w:space="0" w:color="auto"/>
              <w:bottom w:val="single" w:sz="12" w:space="0" w:color="auto"/>
            </w:tcBorders>
            <w:vAlign w:val="center"/>
          </w:tcPr>
          <w:p w:rsidR="00FE25AB" w:rsidRDefault="00FE25AB">
            <w:pPr>
              <w:pStyle w:val="Subsection"/>
              <w:jc w:val="center"/>
            </w:pPr>
          </w:p>
        </w:tc>
        <w:tc>
          <w:tcPr>
            <w:tcW w:w="850" w:type="dxa"/>
            <w:tcBorders>
              <w:top w:val="single" w:sz="12" w:space="0" w:color="auto"/>
              <w:bottom w:val="single" w:sz="12" w:space="0" w:color="auto"/>
            </w:tcBorders>
            <w:vAlign w:val="center"/>
          </w:tcPr>
          <w:p w:rsidR="00FE25AB" w:rsidRDefault="00FE25AB">
            <w:pPr>
              <w:pStyle w:val="Subsection"/>
              <w:jc w:val="center"/>
            </w:pPr>
            <w:r>
              <w:t>450</w:t>
            </w:r>
          </w:p>
        </w:tc>
        <w:tc>
          <w:tcPr>
            <w:tcW w:w="993" w:type="dxa"/>
            <w:tcBorders>
              <w:top w:val="single" w:sz="12" w:space="0" w:color="auto"/>
              <w:bottom w:val="single" w:sz="12" w:space="0" w:color="auto"/>
            </w:tcBorders>
            <w:vAlign w:val="center"/>
          </w:tcPr>
          <w:p w:rsidR="00FE25AB" w:rsidRDefault="00FE25AB">
            <w:pPr>
              <w:pStyle w:val="Subsection"/>
              <w:jc w:val="center"/>
            </w:pPr>
            <w:r>
              <w:t>2650</w:t>
            </w:r>
          </w:p>
        </w:tc>
        <w:tc>
          <w:tcPr>
            <w:tcW w:w="992" w:type="dxa"/>
            <w:tcBorders>
              <w:top w:val="single" w:sz="12" w:space="0" w:color="auto"/>
              <w:bottom w:val="single" w:sz="12" w:space="0" w:color="auto"/>
            </w:tcBorders>
            <w:vAlign w:val="center"/>
          </w:tcPr>
          <w:p w:rsidR="00FE25AB" w:rsidRDefault="00FE25AB">
            <w:pPr>
              <w:pStyle w:val="Subsection"/>
              <w:jc w:val="center"/>
            </w:pPr>
            <w:r>
              <w:t>9,150</w:t>
            </w:r>
          </w:p>
        </w:tc>
        <w:tc>
          <w:tcPr>
            <w:tcW w:w="850" w:type="dxa"/>
            <w:tcBorders>
              <w:top w:val="single" w:sz="12" w:space="0" w:color="auto"/>
              <w:bottom w:val="single" w:sz="12" w:space="0" w:color="auto"/>
            </w:tcBorders>
            <w:vAlign w:val="center"/>
          </w:tcPr>
          <w:p w:rsidR="00FE25AB" w:rsidRDefault="00FE25AB">
            <w:pPr>
              <w:pStyle w:val="Subsection"/>
              <w:jc w:val="center"/>
            </w:pPr>
            <w:r>
              <w:t>500</w:t>
            </w:r>
          </w:p>
        </w:tc>
        <w:tc>
          <w:tcPr>
            <w:tcW w:w="808" w:type="dxa"/>
            <w:tcBorders>
              <w:top w:val="single" w:sz="12" w:space="0" w:color="auto"/>
              <w:bottom w:val="single" w:sz="12" w:space="0" w:color="auto"/>
            </w:tcBorders>
            <w:vAlign w:val="center"/>
          </w:tcPr>
          <w:p w:rsidR="00FE25AB" w:rsidRDefault="00FE25AB">
            <w:pPr>
              <w:pStyle w:val="Subsection"/>
              <w:jc w:val="center"/>
              <w:rPr>
                <w:color w:val="E36C0A"/>
              </w:rPr>
            </w:pPr>
          </w:p>
        </w:tc>
      </w:tr>
    </w:tbl>
    <w:p w:rsidR="00FE25AB" w:rsidRDefault="00FE25AB">
      <w:pPr>
        <w:pStyle w:val="Subsection"/>
        <w:ind w:firstLine="720"/>
      </w:pPr>
      <w:r>
        <w:rPr>
          <w:rFonts w:ascii="Calibri" w:hAnsi="Calibri" w:cs="Calibri"/>
          <w:sz w:val="16"/>
          <w:szCs w:val="16"/>
        </w:rPr>
        <w:t>*E= estimate D = Detailed estimate,     T = Tender price.</w:t>
      </w:r>
    </w:p>
    <w:p w:rsidR="00FE25AB" w:rsidRDefault="00FE25AB">
      <w:pPr>
        <w:pStyle w:val="SectionHeading"/>
      </w:pPr>
    </w:p>
    <w:p w:rsidR="00FE25AB" w:rsidRDefault="00FE25AB">
      <w:pPr>
        <w:pStyle w:val="Subsection"/>
      </w:pPr>
      <w:r>
        <w:t>4.3</w:t>
      </w:r>
      <w:r>
        <w:tab/>
        <w:t>Budget provision</w:t>
      </w:r>
    </w:p>
    <w:p w:rsidR="00FE25AB" w:rsidRDefault="00FE25AB">
      <w:pPr>
        <w:pStyle w:val="Subsection"/>
      </w:pPr>
    </w:p>
    <w:p w:rsidR="00FE25AB" w:rsidRDefault="00FE25AB">
      <w:r>
        <w:t>Table</w:t>
      </w:r>
      <w:r>
        <w:rPr>
          <w:spacing w:val="46"/>
        </w:rPr>
        <w:t xml:space="preserve"> </w:t>
      </w:r>
      <w:r>
        <w:t>4d</w:t>
      </w:r>
      <w:r>
        <w:rPr>
          <w:spacing w:val="19"/>
        </w:rPr>
        <w:t xml:space="preserve"> </w:t>
      </w:r>
      <w:r>
        <w:t>sets</w:t>
      </w:r>
      <w:r>
        <w:rPr>
          <w:spacing w:val="28"/>
        </w:rPr>
        <w:t xml:space="preserve"> </w:t>
      </w:r>
      <w:r>
        <w:t>out</w:t>
      </w:r>
      <w:r>
        <w:rPr>
          <w:spacing w:val="14"/>
        </w:rPr>
        <w:t xml:space="preserve"> </w:t>
      </w:r>
      <w:r>
        <w:t>an</w:t>
      </w:r>
      <w:r>
        <w:rPr>
          <w:spacing w:val="18"/>
        </w:rPr>
        <w:t xml:space="preserve"> </w:t>
      </w:r>
      <w:r>
        <w:t>estimated</w:t>
      </w:r>
      <w:r>
        <w:rPr>
          <w:spacing w:val="50"/>
        </w:rPr>
        <w:t xml:space="preserve"> </w:t>
      </w:r>
      <w:r>
        <w:t>funding</w:t>
      </w:r>
      <w:r>
        <w:rPr>
          <w:spacing w:val="42"/>
        </w:rPr>
        <w:t xml:space="preserve"> </w:t>
      </w:r>
      <w:r>
        <w:t>package</w:t>
      </w:r>
      <w:r>
        <w:rPr>
          <w:spacing w:val="41"/>
        </w:rPr>
        <w:t xml:space="preserve"> </w:t>
      </w:r>
      <w:r>
        <w:t>for</w:t>
      </w:r>
      <w:r>
        <w:rPr>
          <w:spacing w:val="15"/>
        </w:rPr>
        <w:t xml:space="preserve"> </w:t>
      </w:r>
      <w:r>
        <w:t>the</w:t>
      </w:r>
      <w:r>
        <w:rPr>
          <w:spacing w:val="19"/>
        </w:rPr>
        <w:t xml:space="preserve"> </w:t>
      </w:r>
      <w:r>
        <w:t>forecast</w:t>
      </w:r>
      <w:r>
        <w:rPr>
          <w:spacing w:val="54"/>
        </w:rPr>
        <w:t xml:space="preserve"> </w:t>
      </w:r>
      <w:r>
        <w:t>scheme</w:t>
      </w:r>
      <w:r>
        <w:rPr>
          <w:spacing w:val="40"/>
        </w:rPr>
        <w:t xml:space="preserve"> </w:t>
      </w:r>
      <w:r>
        <w:rPr>
          <w:w w:val="104"/>
        </w:rPr>
        <w:t>costs.</w:t>
      </w:r>
    </w:p>
    <w:p w:rsidR="00FE25AB" w:rsidRDefault="00FE25AB">
      <w:r>
        <w:t>The</w:t>
      </w:r>
      <w:r>
        <w:rPr>
          <w:spacing w:val="29"/>
        </w:rPr>
        <w:t xml:space="preserve"> </w:t>
      </w:r>
      <w:r>
        <w:t>table</w:t>
      </w:r>
      <w:r>
        <w:rPr>
          <w:spacing w:val="35"/>
        </w:rPr>
        <w:t xml:space="preserve"> </w:t>
      </w:r>
      <w:r>
        <w:t>includes</w:t>
      </w:r>
      <w:r>
        <w:rPr>
          <w:spacing w:val="47"/>
        </w:rPr>
        <w:t xml:space="preserve"> </w:t>
      </w:r>
      <w:r>
        <w:t>the</w:t>
      </w:r>
      <w:r>
        <w:rPr>
          <w:spacing w:val="22"/>
        </w:rPr>
        <w:t xml:space="preserve"> </w:t>
      </w:r>
      <w:r>
        <w:t>level</w:t>
      </w:r>
      <w:r>
        <w:rPr>
          <w:spacing w:val="20"/>
        </w:rPr>
        <w:t xml:space="preserve"> </w:t>
      </w:r>
      <w:r>
        <w:t>of</w:t>
      </w:r>
      <w:r>
        <w:rPr>
          <w:spacing w:val="14"/>
        </w:rPr>
        <w:t xml:space="preserve"> </w:t>
      </w:r>
      <w:r>
        <w:t>funding</w:t>
      </w:r>
      <w:r>
        <w:rPr>
          <w:spacing w:val="43"/>
        </w:rPr>
        <w:t xml:space="preserve"> </w:t>
      </w:r>
      <w:r>
        <w:rPr>
          <w:w w:val="106"/>
        </w:rPr>
        <w:t>requirement</w:t>
      </w:r>
      <w:r>
        <w:rPr>
          <w:spacing w:val="10"/>
          <w:w w:val="106"/>
        </w:rPr>
        <w:t xml:space="preserve"> </w:t>
      </w:r>
      <w:r>
        <w:t>as</w:t>
      </w:r>
      <w:r>
        <w:rPr>
          <w:spacing w:val="17"/>
        </w:rPr>
        <w:t xml:space="preserve"> </w:t>
      </w:r>
      <w:r>
        <w:t>part</w:t>
      </w:r>
      <w:r>
        <w:rPr>
          <w:spacing w:val="19"/>
        </w:rPr>
        <w:t xml:space="preserve"> </w:t>
      </w:r>
      <w:r>
        <w:t>of</w:t>
      </w:r>
      <w:r>
        <w:rPr>
          <w:spacing w:val="13"/>
        </w:rPr>
        <w:t xml:space="preserve"> </w:t>
      </w:r>
      <w:r>
        <w:t>the</w:t>
      </w:r>
      <w:r>
        <w:rPr>
          <w:spacing w:val="27"/>
        </w:rPr>
        <w:t xml:space="preserve"> </w:t>
      </w:r>
      <w:r>
        <w:t>Local</w:t>
      </w:r>
      <w:r>
        <w:rPr>
          <w:spacing w:val="16"/>
        </w:rPr>
        <w:t xml:space="preserve"> </w:t>
      </w:r>
      <w:r>
        <w:t>Growth Fund, other public funding from Network Rail and</w:t>
      </w:r>
      <w:r>
        <w:rPr>
          <w:spacing w:val="30"/>
        </w:rPr>
        <w:t xml:space="preserve"> </w:t>
      </w:r>
      <w:r>
        <w:t>private</w:t>
      </w:r>
      <w:r>
        <w:rPr>
          <w:spacing w:val="23"/>
        </w:rPr>
        <w:t xml:space="preserve"> </w:t>
      </w:r>
      <w:r>
        <w:t xml:space="preserve">contributions </w:t>
      </w:r>
      <w:r>
        <w:rPr>
          <w:spacing w:val="10"/>
        </w:rPr>
        <w:t>in</w:t>
      </w:r>
      <w:r>
        <w:rPr>
          <w:spacing w:val="5"/>
        </w:rPr>
        <w:t xml:space="preserve"> </w:t>
      </w:r>
      <w:r>
        <w:t>the</w:t>
      </w:r>
      <w:r>
        <w:rPr>
          <w:spacing w:val="19"/>
        </w:rPr>
        <w:t xml:space="preserve"> </w:t>
      </w:r>
      <w:r>
        <w:t>form</w:t>
      </w:r>
      <w:r>
        <w:rPr>
          <w:spacing w:val="33"/>
        </w:rPr>
        <w:t xml:space="preserve"> </w:t>
      </w:r>
      <w:r>
        <w:t>of</w:t>
      </w:r>
      <w:r>
        <w:rPr>
          <w:spacing w:val="17"/>
        </w:rPr>
        <w:t xml:space="preserve"> </w:t>
      </w:r>
      <w:r>
        <w:t>S</w:t>
      </w:r>
      <w:r>
        <w:rPr>
          <w:spacing w:val="-3"/>
        </w:rPr>
        <w:t>1</w:t>
      </w:r>
      <w:r>
        <w:t>06 planning agreements.</w:t>
      </w:r>
      <w:r>
        <w:rPr>
          <w:spacing w:val="30"/>
        </w:rPr>
        <w:t xml:space="preserve"> </w:t>
      </w:r>
      <w:r>
        <w:rPr>
          <w:w w:val="107"/>
        </w:rPr>
        <w:t>The table</w:t>
      </w:r>
      <w:r>
        <w:rPr>
          <w:spacing w:val="7"/>
          <w:w w:val="107"/>
        </w:rPr>
        <w:t xml:space="preserve"> </w:t>
      </w:r>
      <w:r>
        <w:t>does</w:t>
      </w:r>
      <w:r>
        <w:rPr>
          <w:spacing w:val="26"/>
        </w:rPr>
        <w:t xml:space="preserve"> </w:t>
      </w:r>
      <w:r>
        <w:t>not</w:t>
      </w:r>
      <w:r>
        <w:rPr>
          <w:spacing w:val="25"/>
        </w:rPr>
        <w:t xml:space="preserve"> </w:t>
      </w:r>
      <w:r>
        <w:t>account</w:t>
      </w:r>
      <w:r>
        <w:rPr>
          <w:spacing w:val="40"/>
        </w:rPr>
        <w:t xml:space="preserve"> </w:t>
      </w:r>
      <w:r>
        <w:t>for</w:t>
      </w:r>
      <w:r>
        <w:rPr>
          <w:spacing w:val="16"/>
        </w:rPr>
        <w:t xml:space="preserve"> </w:t>
      </w:r>
      <w:r>
        <w:t>possible increases in</w:t>
      </w:r>
      <w:r>
        <w:rPr>
          <w:spacing w:val="1"/>
        </w:rPr>
        <w:t xml:space="preserve"> </w:t>
      </w:r>
      <w:r>
        <w:t>land</w:t>
      </w:r>
      <w:r>
        <w:rPr>
          <w:spacing w:val="36"/>
        </w:rPr>
        <w:t xml:space="preserve"> </w:t>
      </w:r>
      <w:r>
        <w:t>value</w:t>
      </w:r>
      <w:r>
        <w:rPr>
          <w:spacing w:val="24"/>
        </w:rPr>
        <w:t xml:space="preserve"> </w:t>
      </w:r>
      <w:r>
        <w:t>from</w:t>
      </w:r>
      <w:r>
        <w:rPr>
          <w:spacing w:val="35"/>
        </w:rPr>
        <w:t xml:space="preserve"> </w:t>
      </w:r>
      <w:r>
        <w:t>expanded</w:t>
      </w:r>
      <w:r>
        <w:rPr>
          <w:spacing w:val="53"/>
        </w:rPr>
        <w:t xml:space="preserve"> </w:t>
      </w:r>
      <w:r>
        <w:t>land use</w:t>
      </w:r>
      <w:r>
        <w:rPr>
          <w:w w:val="115"/>
        </w:rPr>
        <w:t xml:space="preserve"> </w:t>
      </w:r>
      <w:r>
        <w:rPr>
          <w:w w:val="106"/>
        </w:rPr>
        <w:t>development</w:t>
      </w:r>
      <w:r>
        <w:rPr>
          <w:spacing w:val="12"/>
          <w:w w:val="106"/>
        </w:rPr>
        <w:t xml:space="preserve"> </w:t>
      </w:r>
      <w:r>
        <w:t>sites</w:t>
      </w:r>
      <w:r>
        <w:rPr>
          <w:w w:val="106"/>
        </w:rPr>
        <w:t>.</w:t>
      </w:r>
    </w:p>
    <w:p w:rsidR="00FE25AB" w:rsidRDefault="00FE25AB">
      <w:pPr>
        <w:pStyle w:val="Subsection"/>
        <w:ind w:firstLine="720"/>
      </w:pPr>
    </w:p>
    <w:p w:rsidR="00FE25AB" w:rsidRDefault="00FE25AB">
      <w:pPr>
        <w:pStyle w:val="Subsection"/>
        <w:ind w:firstLine="720"/>
      </w:pPr>
      <w:r>
        <w:t>Table 4d – Cost Profile by Expenditure Item</w:t>
      </w:r>
    </w:p>
    <w:p w:rsidR="00FE25AB" w:rsidRDefault="00FE25AB">
      <w:pPr>
        <w:pStyle w:val="Subsection"/>
        <w:ind w:firstLine="720"/>
      </w:pPr>
    </w:p>
    <w:tbl>
      <w:tblPr>
        <w:tblW w:w="87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921"/>
        <w:gridCol w:w="1063"/>
        <w:gridCol w:w="1063"/>
        <w:gridCol w:w="1063"/>
        <w:gridCol w:w="1063"/>
        <w:gridCol w:w="1134"/>
      </w:tblGrid>
      <w:tr w:rsidR="00FE25AB">
        <w:trPr>
          <w:trHeight w:val="454"/>
        </w:trPr>
        <w:tc>
          <w:tcPr>
            <w:tcW w:w="2410" w:type="dxa"/>
            <w:shd w:val="clear" w:color="auto" w:fill="D9D9D9"/>
            <w:vAlign w:val="center"/>
          </w:tcPr>
          <w:p w:rsidR="00FE25AB" w:rsidRDefault="00FE25AB">
            <w:pPr>
              <w:pStyle w:val="Subsection"/>
            </w:pPr>
            <w:r>
              <w:t>Funding Source</w:t>
            </w:r>
          </w:p>
        </w:tc>
        <w:tc>
          <w:tcPr>
            <w:tcW w:w="921" w:type="dxa"/>
            <w:shd w:val="clear" w:color="auto" w:fill="D9D9D9"/>
            <w:vAlign w:val="center"/>
          </w:tcPr>
          <w:p w:rsidR="00FE25AB" w:rsidRDefault="00FE25AB">
            <w:pPr>
              <w:pStyle w:val="Subsection"/>
              <w:jc w:val="center"/>
              <w:rPr>
                <w:sz w:val="18"/>
                <w:szCs w:val="18"/>
              </w:rPr>
            </w:pPr>
            <w:r>
              <w:rPr>
                <w:sz w:val="18"/>
                <w:szCs w:val="18"/>
              </w:rPr>
              <w:t>2014/15</w:t>
            </w:r>
          </w:p>
          <w:p w:rsidR="00FE25AB" w:rsidRDefault="00FE25AB">
            <w:pPr>
              <w:pStyle w:val="Subsection"/>
              <w:jc w:val="center"/>
              <w:rPr>
                <w:sz w:val="18"/>
                <w:szCs w:val="18"/>
              </w:rPr>
            </w:pPr>
            <w:r>
              <w:rPr>
                <w:sz w:val="18"/>
                <w:szCs w:val="18"/>
              </w:rPr>
              <w:t>£000</w:t>
            </w:r>
          </w:p>
        </w:tc>
        <w:tc>
          <w:tcPr>
            <w:tcW w:w="1063" w:type="dxa"/>
            <w:shd w:val="clear" w:color="auto" w:fill="D9D9D9"/>
            <w:vAlign w:val="center"/>
          </w:tcPr>
          <w:p w:rsidR="00FE25AB" w:rsidRDefault="00FE25AB">
            <w:pPr>
              <w:pStyle w:val="Subsection"/>
              <w:jc w:val="center"/>
              <w:rPr>
                <w:sz w:val="18"/>
                <w:szCs w:val="18"/>
              </w:rPr>
            </w:pPr>
            <w:r>
              <w:rPr>
                <w:sz w:val="18"/>
                <w:szCs w:val="18"/>
              </w:rPr>
              <w:t>2015/16</w:t>
            </w:r>
          </w:p>
          <w:p w:rsidR="00FE25AB" w:rsidRDefault="00FE25AB">
            <w:pPr>
              <w:pStyle w:val="Subsection"/>
              <w:jc w:val="center"/>
              <w:rPr>
                <w:sz w:val="18"/>
                <w:szCs w:val="18"/>
              </w:rPr>
            </w:pPr>
            <w:r>
              <w:rPr>
                <w:sz w:val="18"/>
                <w:szCs w:val="18"/>
              </w:rPr>
              <w:t>£000</w:t>
            </w:r>
          </w:p>
        </w:tc>
        <w:tc>
          <w:tcPr>
            <w:tcW w:w="1063" w:type="dxa"/>
            <w:shd w:val="clear" w:color="auto" w:fill="D9D9D9"/>
            <w:vAlign w:val="center"/>
          </w:tcPr>
          <w:p w:rsidR="00FE25AB" w:rsidRDefault="00FE25AB">
            <w:pPr>
              <w:pStyle w:val="Subsection"/>
              <w:jc w:val="center"/>
              <w:rPr>
                <w:sz w:val="18"/>
                <w:szCs w:val="18"/>
              </w:rPr>
            </w:pPr>
            <w:r>
              <w:rPr>
                <w:sz w:val="18"/>
                <w:szCs w:val="18"/>
              </w:rPr>
              <w:t>2016/17</w:t>
            </w:r>
          </w:p>
          <w:p w:rsidR="00FE25AB" w:rsidRDefault="00FE25AB">
            <w:pPr>
              <w:pStyle w:val="Subsection"/>
              <w:jc w:val="center"/>
              <w:rPr>
                <w:sz w:val="18"/>
                <w:szCs w:val="18"/>
              </w:rPr>
            </w:pPr>
            <w:r>
              <w:rPr>
                <w:sz w:val="18"/>
                <w:szCs w:val="18"/>
              </w:rPr>
              <w:t>£000</w:t>
            </w:r>
          </w:p>
        </w:tc>
        <w:tc>
          <w:tcPr>
            <w:tcW w:w="1063" w:type="dxa"/>
            <w:shd w:val="clear" w:color="auto" w:fill="D9D9D9"/>
            <w:vAlign w:val="center"/>
          </w:tcPr>
          <w:p w:rsidR="00FE25AB" w:rsidRDefault="00FE25AB">
            <w:pPr>
              <w:pStyle w:val="Subsection"/>
              <w:jc w:val="center"/>
              <w:rPr>
                <w:sz w:val="18"/>
                <w:szCs w:val="18"/>
              </w:rPr>
            </w:pPr>
            <w:r>
              <w:rPr>
                <w:sz w:val="18"/>
                <w:szCs w:val="18"/>
              </w:rPr>
              <w:t>2017/18</w:t>
            </w:r>
          </w:p>
          <w:p w:rsidR="00FE25AB" w:rsidRDefault="00FE25AB">
            <w:pPr>
              <w:pStyle w:val="Subsection"/>
              <w:jc w:val="center"/>
              <w:rPr>
                <w:sz w:val="18"/>
                <w:szCs w:val="18"/>
              </w:rPr>
            </w:pPr>
            <w:r>
              <w:rPr>
                <w:sz w:val="18"/>
                <w:szCs w:val="18"/>
              </w:rPr>
              <w:t>£000</w:t>
            </w:r>
          </w:p>
        </w:tc>
        <w:tc>
          <w:tcPr>
            <w:tcW w:w="1063" w:type="dxa"/>
            <w:shd w:val="clear" w:color="auto" w:fill="D9D9D9"/>
            <w:vAlign w:val="center"/>
          </w:tcPr>
          <w:p w:rsidR="00FE25AB" w:rsidRDefault="00FE25AB">
            <w:pPr>
              <w:pStyle w:val="Subsection"/>
              <w:jc w:val="center"/>
              <w:rPr>
                <w:sz w:val="18"/>
                <w:szCs w:val="18"/>
              </w:rPr>
            </w:pPr>
            <w:r>
              <w:rPr>
                <w:sz w:val="18"/>
                <w:szCs w:val="18"/>
              </w:rPr>
              <w:t>2018/19</w:t>
            </w:r>
          </w:p>
          <w:p w:rsidR="00FE25AB" w:rsidRDefault="00FE25AB">
            <w:pPr>
              <w:pStyle w:val="Subsection"/>
              <w:jc w:val="center"/>
              <w:rPr>
                <w:sz w:val="18"/>
                <w:szCs w:val="18"/>
              </w:rPr>
            </w:pPr>
            <w:r>
              <w:rPr>
                <w:sz w:val="18"/>
                <w:szCs w:val="18"/>
              </w:rPr>
              <w:t>£000</w:t>
            </w:r>
          </w:p>
        </w:tc>
        <w:tc>
          <w:tcPr>
            <w:tcW w:w="1134" w:type="dxa"/>
            <w:shd w:val="clear" w:color="auto" w:fill="D9D9D9"/>
            <w:vAlign w:val="center"/>
          </w:tcPr>
          <w:p w:rsidR="00FE25AB" w:rsidRDefault="00FE25AB">
            <w:pPr>
              <w:pStyle w:val="Subsection"/>
              <w:jc w:val="center"/>
              <w:rPr>
                <w:sz w:val="18"/>
                <w:szCs w:val="18"/>
              </w:rPr>
            </w:pPr>
            <w:r>
              <w:rPr>
                <w:sz w:val="18"/>
                <w:szCs w:val="18"/>
              </w:rPr>
              <w:t>2019/20</w:t>
            </w:r>
          </w:p>
          <w:p w:rsidR="00FE25AB" w:rsidRDefault="00FE25AB">
            <w:pPr>
              <w:pStyle w:val="Subsection"/>
              <w:jc w:val="center"/>
              <w:rPr>
                <w:sz w:val="18"/>
                <w:szCs w:val="18"/>
              </w:rPr>
            </w:pPr>
            <w:r>
              <w:rPr>
                <w:sz w:val="18"/>
                <w:szCs w:val="18"/>
              </w:rPr>
              <w:t>£000</w:t>
            </w:r>
          </w:p>
        </w:tc>
      </w:tr>
      <w:tr w:rsidR="00FE25AB">
        <w:trPr>
          <w:trHeight w:val="139"/>
        </w:trPr>
        <w:tc>
          <w:tcPr>
            <w:tcW w:w="2410" w:type="dxa"/>
            <w:vAlign w:val="center"/>
          </w:tcPr>
          <w:p w:rsidR="00FE25AB" w:rsidRDefault="00FE25AB">
            <w:pPr>
              <w:pStyle w:val="Subsection"/>
              <w:rPr>
                <w:b w:val="0"/>
                <w:bCs w:val="0"/>
              </w:rPr>
            </w:pPr>
            <w:r>
              <w:rPr>
                <w:b w:val="0"/>
                <w:bCs w:val="0"/>
              </w:rPr>
              <w:t>SE LEP</w:t>
            </w:r>
          </w:p>
        </w:tc>
        <w:tc>
          <w:tcPr>
            <w:tcW w:w="921"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r>
              <w:rPr>
                <w:b w:val="0"/>
                <w:bCs w:val="0"/>
              </w:rPr>
              <w:t>200</w:t>
            </w:r>
          </w:p>
        </w:tc>
        <w:tc>
          <w:tcPr>
            <w:tcW w:w="1063" w:type="dxa"/>
            <w:vAlign w:val="center"/>
          </w:tcPr>
          <w:p w:rsidR="00FE25AB" w:rsidRDefault="00FE25AB">
            <w:pPr>
              <w:pStyle w:val="Subsection"/>
              <w:jc w:val="center"/>
              <w:rPr>
                <w:b w:val="0"/>
                <w:bCs w:val="0"/>
              </w:rPr>
            </w:pPr>
            <w:r>
              <w:rPr>
                <w:b w:val="0"/>
                <w:bCs w:val="0"/>
              </w:rPr>
              <w:t>400</w:t>
            </w:r>
          </w:p>
        </w:tc>
        <w:tc>
          <w:tcPr>
            <w:tcW w:w="1063" w:type="dxa"/>
            <w:vAlign w:val="center"/>
          </w:tcPr>
          <w:p w:rsidR="00FE25AB" w:rsidRDefault="00FE25AB">
            <w:pPr>
              <w:pStyle w:val="Subsection"/>
              <w:jc w:val="center"/>
              <w:rPr>
                <w:b w:val="0"/>
                <w:bCs w:val="0"/>
              </w:rPr>
            </w:pPr>
            <w:r>
              <w:rPr>
                <w:b w:val="0"/>
                <w:bCs w:val="0"/>
              </w:rPr>
              <w:t>6650</w:t>
            </w:r>
          </w:p>
        </w:tc>
        <w:tc>
          <w:tcPr>
            <w:tcW w:w="1063" w:type="dxa"/>
            <w:vAlign w:val="center"/>
          </w:tcPr>
          <w:p w:rsidR="00FE25AB" w:rsidRDefault="00FE25AB">
            <w:pPr>
              <w:pStyle w:val="Subsection"/>
              <w:jc w:val="center"/>
              <w:rPr>
                <w:b w:val="0"/>
                <w:bCs w:val="0"/>
              </w:rPr>
            </w:pPr>
            <w:r>
              <w:rPr>
                <w:b w:val="0"/>
                <w:bCs w:val="0"/>
              </w:rPr>
              <w:t>500</w:t>
            </w:r>
          </w:p>
        </w:tc>
        <w:tc>
          <w:tcPr>
            <w:tcW w:w="1134" w:type="dxa"/>
            <w:vAlign w:val="center"/>
          </w:tcPr>
          <w:p w:rsidR="00FE25AB" w:rsidRDefault="00FE25AB">
            <w:pPr>
              <w:pStyle w:val="Subsection"/>
              <w:jc w:val="center"/>
              <w:rPr>
                <w:b w:val="0"/>
                <w:bCs w:val="0"/>
              </w:rPr>
            </w:pPr>
          </w:p>
        </w:tc>
      </w:tr>
      <w:tr w:rsidR="00FE25AB">
        <w:trPr>
          <w:trHeight w:val="299"/>
        </w:trPr>
        <w:tc>
          <w:tcPr>
            <w:tcW w:w="2410" w:type="dxa"/>
            <w:vAlign w:val="center"/>
          </w:tcPr>
          <w:p w:rsidR="00FE25AB" w:rsidRDefault="00FE25AB">
            <w:pPr>
              <w:pStyle w:val="Subsection"/>
              <w:rPr>
                <w:b w:val="0"/>
                <w:bCs w:val="0"/>
              </w:rPr>
            </w:pPr>
            <w:r>
              <w:rPr>
                <w:b w:val="0"/>
                <w:bCs w:val="0"/>
              </w:rPr>
              <w:t xml:space="preserve">SE LEP </w:t>
            </w:r>
            <w:proofErr w:type="spellStart"/>
            <w:r>
              <w:rPr>
                <w:b w:val="0"/>
                <w:bCs w:val="0"/>
              </w:rPr>
              <w:t>Strood</w:t>
            </w:r>
            <w:proofErr w:type="spellEnd"/>
            <w:r>
              <w:rPr>
                <w:b w:val="0"/>
                <w:bCs w:val="0"/>
              </w:rPr>
              <w:t xml:space="preserve"> </w:t>
            </w:r>
            <w:proofErr w:type="spellStart"/>
            <w:r>
              <w:rPr>
                <w:b w:val="0"/>
                <w:bCs w:val="0"/>
              </w:rPr>
              <w:t>Stn</w:t>
            </w:r>
            <w:proofErr w:type="spellEnd"/>
          </w:p>
        </w:tc>
        <w:tc>
          <w:tcPr>
            <w:tcW w:w="921"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r>
              <w:rPr>
                <w:b w:val="0"/>
                <w:bCs w:val="0"/>
              </w:rPr>
              <w:t>1250</w:t>
            </w:r>
          </w:p>
        </w:tc>
        <w:tc>
          <w:tcPr>
            <w:tcW w:w="1063"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p>
        </w:tc>
        <w:tc>
          <w:tcPr>
            <w:tcW w:w="1134" w:type="dxa"/>
            <w:vAlign w:val="center"/>
          </w:tcPr>
          <w:p w:rsidR="00FE25AB" w:rsidRDefault="00FE25AB">
            <w:pPr>
              <w:pStyle w:val="Subsection"/>
              <w:jc w:val="center"/>
              <w:rPr>
                <w:b w:val="0"/>
                <w:bCs w:val="0"/>
              </w:rPr>
            </w:pPr>
          </w:p>
        </w:tc>
      </w:tr>
      <w:tr w:rsidR="00FE25AB">
        <w:trPr>
          <w:trHeight w:val="299"/>
        </w:trPr>
        <w:tc>
          <w:tcPr>
            <w:tcW w:w="2410" w:type="dxa"/>
            <w:vAlign w:val="center"/>
          </w:tcPr>
          <w:p w:rsidR="00FE25AB" w:rsidRDefault="00FE25AB">
            <w:pPr>
              <w:pStyle w:val="Subsection"/>
              <w:rPr>
                <w:b w:val="0"/>
                <w:bCs w:val="0"/>
              </w:rPr>
            </w:pPr>
            <w:r>
              <w:rPr>
                <w:b w:val="0"/>
                <w:bCs w:val="0"/>
              </w:rPr>
              <w:t xml:space="preserve">Network Rail – </w:t>
            </w:r>
            <w:proofErr w:type="spellStart"/>
            <w:r>
              <w:rPr>
                <w:b w:val="0"/>
                <w:bCs w:val="0"/>
              </w:rPr>
              <w:t>Strood</w:t>
            </w:r>
            <w:proofErr w:type="spellEnd"/>
            <w:r>
              <w:rPr>
                <w:b w:val="0"/>
                <w:bCs w:val="0"/>
              </w:rPr>
              <w:t xml:space="preserve"> </w:t>
            </w:r>
            <w:proofErr w:type="spellStart"/>
            <w:r>
              <w:rPr>
                <w:b w:val="0"/>
                <w:bCs w:val="0"/>
              </w:rPr>
              <w:t>Stn</w:t>
            </w:r>
            <w:proofErr w:type="spellEnd"/>
            <w:r>
              <w:rPr>
                <w:b w:val="0"/>
                <w:bCs w:val="0"/>
              </w:rPr>
              <w:t xml:space="preserve"> (split of allocation across years to be finalised)</w:t>
            </w:r>
          </w:p>
        </w:tc>
        <w:tc>
          <w:tcPr>
            <w:tcW w:w="921"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r>
              <w:rPr>
                <w:b w:val="0"/>
                <w:bCs w:val="0"/>
              </w:rPr>
              <w:t>250</w:t>
            </w:r>
          </w:p>
        </w:tc>
        <w:tc>
          <w:tcPr>
            <w:tcW w:w="1063" w:type="dxa"/>
            <w:vAlign w:val="center"/>
          </w:tcPr>
          <w:p w:rsidR="00FE25AB" w:rsidRDefault="00FE25AB">
            <w:pPr>
              <w:pStyle w:val="Subsection"/>
              <w:jc w:val="center"/>
              <w:rPr>
                <w:b w:val="0"/>
                <w:bCs w:val="0"/>
              </w:rPr>
            </w:pPr>
            <w:r>
              <w:rPr>
                <w:b w:val="0"/>
                <w:bCs w:val="0"/>
              </w:rPr>
              <w:t>1000</w:t>
            </w:r>
          </w:p>
        </w:tc>
        <w:tc>
          <w:tcPr>
            <w:tcW w:w="1063"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p>
        </w:tc>
        <w:tc>
          <w:tcPr>
            <w:tcW w:w="1134" w:type="dxa"/>
            <w:vAlign w:val="center"/>
          </w:tcPr>
          <w:p w:rsidR="00FE25AB" w:rsidRDefault="00FE25AB">
            <w:pPr>
              <w:pStyle w:val="Subsection"/>
              <w:jc w:val="center"/>
              <w:rPr>
                <w:b w:val="0"/>
                <w:bCs w:val="0"/>
              </w:rPr>
            </w:pPr>
          </w:p>
        </w:tc>
      </w:tr>
      <w:tr w:rsidR="00FE25AB">
        <w:trPr>
          <w:trHeight w:val="275"/>
        </w:trPr>
        <w:tc>
          <w:tcPr>
            <w:tcW w:w="2410" w:type="dxa"/>
            <w:vAlign w:val="center"/>
          </w:tcPr>
          <w:p w:rsidR="00FE25AB" w:rsidRDefault="00FE25AB">
            <w:pPr>
              <w:pStyle w:val="Subsection"/>
              <w:rPr>
                <w:b w:val="0"/>
                <w:bCs w:val="0"/>
              </w:rPr>
            </w:pPr>
            <w:r>
              <w:rPr>
                <w:b w:val="0"/>
                <w:bCs w:val="0"/>
              </w:rPr>
              <w:t>Developer S106</w:t>
            </w:r>
          </w:p>
        </w:tc>
        <w:tc>
          <w:tcPr>
            <w:tcW w:w="921"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p>
        </w:tc>
        <w:tc>
          <w:tcPr>
            <w:tcW w:w="1063" w:type="dxa"/>
            <w:vAlign w:val="center"/>
          </w:tcPr>
          <w:p w:rsidR="00FE25AB" w:rsidRDefault="00FE25AB">
            <w:pPr>
              <w:pStyle w:val="Subsection"/>
              <w:jc w:val="center"/>
              <w:rPr>
                <w:b w:val="0"/>
                <w:bCs w:val="0"/>
              </w:rPr>
            </w:pPr>
            <w:r>
              <w:rPr>
                <w:b w:val="0"/>
                <w:bCs w:val="0"/>
              </w:rPr>
              <w:t>2500</w:t>
            </w:r>
          </w:p>
        </w:tc>
        <w:tc>
          <w:tcPr>
            <w:tcW w:w="1063" w:type="dxa"/>
            <w:vAlign w:val="center"/>
          </w:tcPr>
          <w:p w:rsidR="00FE25AB" w:rsidRDefault="00FE25AB">
            <w:pPr>
              <w:pStyle w:val="Subsection"/>
              <w:jc w:val="center"/>
              <w:rPr>
                <w:b w:val="0"/>
                <w:bCs w:val="0"/>
              </w:rPr>
            </w:pPr>
          </w:p>
        </w:tc>
        <w:tc>
          <w:tcPr>
            <w:tcW w:w="1134" w:type="dxa"/>
            <w:vAlign w:val="center"/>
          </w:tcPr>
          <w:p w:rsidR="00FE25AB" w:rsidRDefault="00FE25AB">
            <w:pPr>
              <w:pStyle w:val="Subsection"/>
              <w:jc w:val="center"/>
              <w:rPr>
                <w:b w:val="0"/>
                <w:bCs w:val="0"/>
              </w:rPr>
            </w:pPr>
          </w:p>
        </w:tc>
      </w:tr>
      <w:tr w:rsidR="00FE25AB">
        <w:trPr>
          <w:trHeight w:val="387"/>
        </w:trPr>
        <w:tc>
          <w:tcPr>
            <w:tcW w:w="2410" w:type="dxa"/>
            <w:tcBorders>
              <w:top w:val="single" w:sz="12" w:space="0" w:color="auto"/>
            </w:tcBorders>
            <w:vAlign w:val="center"/>
          </w:tcPr>
          <w:p w:rsidR="00FE25AB" w:rsidRDefault="00FE25AB">
            <w:pPr>
              <w:pStyle w:val="Subsection"/>
              <w:rPr>
                <w:b w:val="0"/>
                <w:bCs w:val="0"/>
              </w:rPr>
            </w:pPr>
            <w:r>
              <w:rPr>
                <w:b w:val="0"/>
                <w:bCs w:val="0"/>
              </w:rPr>
              <w:t>TOTAL FUNDING</w:t>
            </w:r>
          </w:p>
        </w:tc>
        <w:tc>
          <w:tcPr>
            <w:tcW w:w="921" w:type="dxa"/>
            <w:tcBorders>
              <w:top w:val="single" w:sz="12" w:space="0" w:color="auto"/>
            </w:tcBorders>
            <w:vAlign w:val="center"/>
          </w:tcPr>
          <w:p w:rsidR="00FE25AB" w:rsidRDefault="00FE25AB">
            <w:pPr>
              <w:pStyle w:val="Subsection"/>
              <w:jc w:val="center"/>
            </w:pPr>
          </w:p>
        </w:tc>
        <w:tc>
          <w:tcPr>
            <w:tcW w:w="1063" w:type="dxa"/>
            <w:tcBorders>
              <w:top w:val="single" w:sz="12" w:space="0" w:color="auto"/>
            </w:tcBorders>
            <w:vAlign w:val="center"/>
          </w:tcPr>
          <w:p w:rsidR="00FE25AB" w:rsidRDefault="00FE25AB">
            <w:pPr>
              <w:pStyle w:val="Subsection"/>
              <w:jc w:val="center"/>
            </w:pPr>
            <w:r>
              <w:t>450</w:t>
            </w:r>
          </w:p>
        </w:tc>
        <w:tc>
          <w:tcPr>
            <w:tcW w:w="1063" w:type="dxa"/>
            <w:tcBorders>
              <w:top w:val="single" w:sz="12" w:space="0" w:color="auto"/>
            </w:tcBorders>
            <w:vAlign w:val="center"/>
          </w:tcPr>
          <w:p w:rsidR="00FE25AB" w:rsidRDefault="00FE25AB">
            <w:pPr>
              <w:pStyle w:val="Subsection"/>
              <w:jc w:val="center"/>
            </w:pPr>
            <w:r>
              <w:t>2650</w:t>
            </w:r>
          </w:p>
        </w:tc>
        <w:tc>
          <w:tcPr>
            <w:tcW w:w="1063" w:type="dxa"/>
            <w:tcBorders>
              <w:top w:val="single" w:sz="12" w:space="0" w:color="auto"/>
            </w:tcBorders>
            <w:vAlign w:val="center"/>
          </w:tcPr>
          <w:p w:rsidR="00FE25AB" w:rsidRDefault="00FE25AB">
            <w:pPr>
              <w:pStyle w:val="Subsection"/>
              <w:jc w:val="center"/>
            </w:pPr>
            <w:r>
              <w:t>9150</w:t>
            </w:r>
          </w:p>
        </w:tc>
        <w:tc>
          <w:tcPr>
            <w:tcW w:w="1063" w:type="dxa"/>
            <w:tcBorders>
              <w:top w:val="single" w:sz="12" w:space="0" w:color="auto"/>
            </w:tcBorders>
            <w:vAlign w:val="center"/>
          </w:tcPr>
          <w:p w:rsidR="00FE25AB" w:rsidRDefault="00FE25AB">
            <w:pPr>
              <w:pStyle w:val="Subsection"/>
              <w:jc w:val="center"/>
            </w:pPr>
            <w:r>
              <w:t>500</w:t>
            </w:r>
          </w:p>
        </w:tc>
        <w:tc>
          <w:tcPr>
            <w:tcW w:w="1134" w:type="dxa"/>
            <w:tcBorders>
              <w:top w:val="single" w:sz="12" w:space="0" w:color="auto"/>
            </w:tcBorders>
            <w:vAlign w:val="center"/>
          </w:tcPr>
          <w:p w:rsidR="00FE25AB" w:rsidRDefault="00FE25AB">
            <w:pPr>
              <w:pStyle w:val="Subsection"/>
              <w:jc w:val="center"/>
            </w:pPr>
          </w:p>
        </w:tc>
      </w:tr>
    </w:tbl>
    <w:p w:rsidR="00FE25AB" w:rsidRDefault="00FE25AB">
      <w:pPr>
        <w:spacing w:line="250" w:lineRule="auto"/>
        <w:ind w:left="1464" w:right="722"/>
        <w:rPr>
          <w:color w:val="131513"/>
          <w:sz w:val="20"/>
          <w:szCs w:val="20"/>
        </w:rPr>
      </w:pPr>
    </w:p>
    <w:p w:rsidR="00FE25AB" w:rsidRDefault="00FE25AB">
      <w:r>
        <w:t xml:space="preserve">The primary source of local contribution funding for the Scheme is from S106.The Section 106 estimate has been developed and provided by Medway Council’s development control department. It is based on estimated costs for associated accommodation and access works for the proposed housing and employment sites within </w:t>
      </w:r>
      <w:proofErr w:type="spellStart"/>
      <w:r>
        <w:t>Strood</w:t>
      </w:r>
      <w:proofErr w:type="spellEnd"/>
      <w:r>
        <w:t xml:space="preserve"> and Rochester.</w:t>
      </w:r>
    </w:p>
    <w:p w:rsidR="00FE25AB" w:rsidRDefault="00FE25AB">
      <w:pPr>
        <w:ind w:left="0"/>
        <w:rPr>
          <w:b/>
          <w:bCs/>
          <w:color w:val="5F497A"/>
        </w:rPr>
      </w:pPr>
    </w:p>
    <w:p w:rsidR="00FE25AB" w:rsidRDefault="00FE25AB">
      <w:pPr>
        <w:ind w:left="0"/>
        <w:rPr>
          <w:b/>
          <w:bCs/>
        </w:rPr>
      </w:pPr>
      <w:r>
        <w:rPr>
          <w:b/>
          <w:bCs/>
          <w:color w:val="E36C0A"/>
        </w:rPr>
        <w:br w:type="page"/>
      </w:r>
      <w:r>
        <w:rPr>
          <w:b/>
          <w:bCs/>
        </w:rPr>
        <w:lastRenderedPageBreak/>
        <w:t>4.4</w:t>
      </w:r>
      <w:r>
        <w:rPr>
          <w:b/>
          <w:bCs/>
        </w:rPr>
        <w:tab/>
        <w:t>Funding Risks</w:t>
      </w:r>
    </w:p>
    <w:p w:rsidR="00FE25AB" w:rsidRDefault="00FE25AB">
      <w:pPr>
        <w:ind w:left="0"/>
      </w:pPr>
    </w:p>
    <w:p w:rsidR="00FE25AB" w:rsidRDefault="00FE25AB">
      <w:r>
        <w:t xml:space="preserve">All of the proposed project funding will be public money aside from S106 availability and a contribution of £1.25m from Network Rail for reconstruction of </w:t>
      </w:r>
      <w:proofErr w:type="spellStart"/>
      <w:r>
        <w:t>Strood</w:t>
      </w:r>
      <w:proofErr w:type="spellEnd"/>
      <w:r>
        <w:t xml:space="preserve"> Station. </w:t>
      </w:r>
    </w:p>
    <w:p w:rsidR="00FE25AB" w:rsidRDefault="00FE25AB"/>
    <w:p w:rsidR="00FE25AB" w:rsidRDefault="00FE25AB">
      <w:pPr>
        <w:pStyle w:val="ListParagraph"/>
        <w:spacing w:after="0" w:line="240" w:lineRule="auto"/>
        <w:rPr>
          <w:rFonts w:ascii="Arial" w:hAnsi="Arial" w:cs="Arial"/>
        </w:rPr>
      </w:pPr>
      <w:r>
        <w:rPr>
          <w:rFonts w:ascii="Arial" w:hAnsi="Arial" w:cs="Arial"/>
        </w:rPr>
        <w:t xml:space="preserve">Network Rail has confirmed that funding is available for 2015 to 2017 for the reconstruction of </w:t>
      </w:r>
      <w:proofErr w:type="spellStart"/>
      <w:r>
        <w:rPr>
          <w:rFonts w:ascii="Arial" w:hAnsi="Arial" w:cs="Arial"/>
        </w:rPr>
        <w:t>Strood</w:t>
      </w:r>
      <w:proofErr w:type="spellEnd"/>
      <w:r>
        <w:rPr>
          <w:rFonts w:ascii="Arial" w:hAnsi="Arial" w:cs="Arial"/>
        </w:rPr>
        <w:t xml:space="preserve"> Station. Medway Council has confirmed that the proposed works have Permitted Development Rights. No other known constraints have been identified at this stage (technical, environmental, archaeological). The work is programmed to be undertaken between 2015/16 and 2016/17, with the LGF funding contribution being required in 2016/17. </w:t>
      </w:r>
    </w:p>
    <w:p w:rsidR="00FE25AB" w:rsidRDefault="00FE25AB"/>
    <w:p w:rsidR="00FE25AB" w:rsidRDefault="00FE25AB">
      <w:r>
        <w:t xml:space="preserve">Section 106 availability will depend on developers coming forward to develop key sites described within this business case. However, this funding is not critical to achieve the high benefit elements of the scheme, although those benefits will act to encourage and sponsor the development plans to proceed. </w:t>
      </w:r>
    </w:p>
    <w:p w:rsidR="00FE25AB" w:rsidRDefault="00FE25AB"/>
    <w:p w:rsidR="00FE25AB" w:rsidRDefault="00FE25AB">
      <w:r>
        <w:t xml:space="preserve">There are no major identified risks to delivery of the core scheme elements (see Table Section 2.6 Table 2c) therefore the high benefit elements of this project have no significant funding risks associated with them.  </w:t>
      </w:r>
    </w:p>
    <w:p w:rsidR="00FE25AB" w:rsidRDefault="00FE25AB"/>
    <w:p w:rsidR="00FE25AB" w:rsidRDefault="00FE25AB"/>
    <w:p w:rsidR="00FE25AB" w:rsidRDefault="00FE25AB">
      <w:pPr>
        <w:rPr>
          <w:color w:val="E36C0A"/>
        </w:rPr>
      </w:pPr>
      <w:r>
        <w:rPr>
          <w:color w:val="E36C0A"/>
        </w:rPr>
        <w:t>.</w:t>
      </w:r>
    </w:p>
    <w:p w:rsidR="00FE25AB" w:rsidRDefault="00FE25AB">
      <w:pPr>
        <w:rPr>
          <w:color w:val="E36C0A"/>
        </w:rPr>
      </w:pPr>
    </w:p>
    <w:p w:rsidR="00FE25AB" w:rsidRDefault="00FE25AB">
      <w:pPr>
        <w:ind w:left="0"/>
      </w:pPr>
      <w:r>
        <w:br w:type="page"/>
      </w:r>
    </w:p>
    <w:p w:rsidR="00FE25AB" w:rsidRDefault="00FE25AB">
      <w:pPr>
        <w:ind w:left="0"/>
        <w:rPr>
          <w:b/>
          <w:bCs/>
          <w:sz w:val="24"/>
          <w:szCs w:val="24"/>
        </w:rPr>
      </w:pPr>
    </w:p>
    <w:p w:rsidR="00FE25AB" w:rsidRDefault="00FE25AB">
      <w:pPr>
        <w:pStyle w:val="SectionHeading"/>
      </w:pPr>
      <w:r>
        <w:t>5.0</w:t>
      </w:r>
      <w:r>
        <w:tab/>
        <w:t>The Commercial Case</w:t>
      </w:r>
    </w:p>
    <w:p w:rsidR="00FE25AB" w:rsidRDefault="00FE25AB">
      <w:pPr>
        <w:pStyle w:val="SectionHeading"/>
      </w:pPr>
    </w:p>
    <w:p w:rsidR="00FE25AB" w:rsidRDefault="00FE25AB">
      <w:r>
        <w:t>This business case is consistent, and has linkages with, a number of other business cases being promoted by Medway Council, including:</w:t>
      </w:r>
    </w:p>
    <w:p w:rsidR="00FE25AB" w:rsidRDefault="00FE25AB">
      <w:pPr>
        <w:pStyle w:val="ListParagraph"/>
        <w:numPr>
          <w:ilvl w:val="0"/>
          <w:numId w:val="23"/>
        </w:numPr>
        <w:rPr>
          <w:rFonts w:ascii="Arial" w:hAnsi="Arial" w:cs="Arial"/>
        </w:rPr>
      </w:pPr>
      <w:r>
        <w:rPr>
          <w:rFonts w:ascii="Arial" w:hAnsi="Arial" w:cs="Arial"/>
        </w:rPr>
        <w:t xml:space="preserve">A289 Four Elms to Medway Tunnel, which provides additional capacity to encourage drivers to use the dual carriageway by-pass rather than travel through the centre of </w:t>
      </w:r>
      <w:proofErr w:type="spellStart"/>
      <w:r>
        <w:rPr>
          <w:rFonts w:ascii="Arial" w:hAnsi="Arial" w:cs="Arial"/>
        </w:rPr>
        <w:t>Strood</w:t>
      </w:r>
      <w:proofErr w:type="spellEnd"/>
      <w:r>
        <w:rPr>
          <w:rFonts w:ascii="Arial" w:hAnsi="Arial" w:cs="Arial"/>
        </w:rPr>
        <w:t>;</w:t>
      </w:r>
    </w:p>
    <w:p w:rsidR="00FE25AB" w:rsidRDefault="00FE25AB">
      <w:pPr>
        <w:pStyle w:val="ListParagraph"/>
        <w:numPr>
          <w:ilvl w:val="0"/>
          <w:numId w:val="23"/>
        </w:numPr>
        <w:rPr>
          <w:rFonts w:ascii="Arial" w:hAnsi="Arial" w:cs="Arial"/>
        </w:rPr>
      </w:pPr>
      <w:r>
        <w:rPr>
          <w:rFonts w:ascii="Arial" w:hAnsi="Arial" w:cs="Arial"/>
        </w:rPr>
        <w:t>Medway City Estate, which improves connectivity and encourages more sustainable forms of travel from Medway City Estate,  a major business area employing approximately 5,000 people; and</w:t>
      </w:r>
    </w:p>
    <w:p w:rsidR="00FE25AB" w:rsidRDefault="00FE25AB">
      <w:pPr>
        <w:pStyle w:val="ListParagraph"/>
        <w:numPr>
          <w:ilvl w:val="0"/>
          <w:numId w:val="23"/>
        </w:numPr>
        <w:rPr>
          <w:rFonts w:ascii="Arial" w:hAnsi="Arial" w:cs="Arial"/>
        </w:rPr>
      </w:pPr>
      <w:r>
        <w:rPr>
          <w:rFonts w:ascii="Arial" w:hAnsi="Arial" w:cs="Arial"/>
        </w:rPr>
        <w:t xml:space="preserve">Medway Cycling Action Plan, which improves cycle routes in the vicinity of </w:t>
      </w:r>
      <w:proofErr w:type="spellStart"/>
      <w:r>
        <w:rPr>
          <w:rFonts w:ascii="Arial" w:hAnsi="Arial" w:cs="Arial"/>
        </w:rPr>
        <w:t>Strood</w:t>
      </w:r>
      <w:proofErr w:type="spellEnd"/>
      <w:r>
        <w:rPr>
          <w:rFonts w:ascii="Arial" w:hAnsi="Arial" w:cs="Arial"/>
        </w:rPr>
        <w:t>.</w:t>
      </w:r>
    </w:p>
    <w:p w:rsidR="00FE25AB" w:rsidRDefault="00FE25AB">
      <w:r>
        <w:t xml:space="preserve">The programmes and milestones for this and other associated projects in the </w:t>
      </w:r>
      <w:proofErr w:type="spellStart"/>
      <w:r>
        <w:t>Strood</w:t>
      </w:r>
      <w:proofErr w:type="spellEnd"/>
      <w:r>
        <w:t xml:space="preserve"> and wider Medway area will be developed in parallel to ensure a joined up approach to project development and delivery planning. </w:t>
      </w:r>
    </w:p>
    <w:p w:rsidR="00FE25AB" w:rsidRDefault="00FE25AB"/>
    <w:p w:rsidR="00FE25AB" w:rsidRDefault="00FE25AB">
      <w:pPr>
        <w:pStyle w:val="Subsection"/>
      </w:pPr>
      <w:r>
        <w:t>5.1</w:t>
      </w:r>
      <w:r>
        <w:tab/>
        <w:t>Programme &amp; Milestones</w:t>
      </w:r>
    </w:p>
    <w:p w:rsidR="00FE25AB" w:rsidRDefault="00FE25AB">
      <w:pPr>
        <w:rPr>
          <w:color w:val="131311"/>
          <w:w w:val="107"/>
          <w:sz w:val="20"/>
          <w:szCs w:val="20"/>
        </w:rPr>
      </w:pPr>
    </w:p>
    <w:p w:rsidR="00FE25AB" w:rsidRDefault="00FE25AB">
      <w:r>
        <w:t>The following diagram and table sets out the outline programme and milestones for development and delivery of this scheme. This programme will be refined following full scheme approval, and subject to detailed design of specific scheme elements.</w:t>
      </w:r>
    </w:p>
    <w:p w:rsidR="00FE25AB" w:rsidRDefault="00FE25AB">
      <w:pPr>
        <w:pStyle w:val="SectionHeading"/>
      </w:pPr>
    </w:p>
    <w:p w:rsidR="00FE25AB" w:rsidRDefault="00FE25AB">
      <w:pPr>
        <w:pStyle w:val="Subsection"/>
        <w:ind w:firstLine="720"/>
      </w:pPr>
      <w:r>
        <w:t>Table 5a - Delivery programme</w:t>
      </w:r>
    </w:p>
    <w:p w:rsidR="00FE25AB" w:rsidRDefault="00FE25AB">
      <w:pPr>
        <w:pStyle w:val="SectionHeading"/>
      </w:pPr>
    </w:p>
    <w:p w:rsidR="00FE25AB" w:rsidRDefault="004D0481">
      <w:pPr>
        <w:ind w:left="0"/>
        <w:jc w:val="right"/>
      </w:pPr>
      <w:r>
        <w:rPr>
          <w:noProof/>
          <w:lang w:eastAsia="en-GB"/>
        </w:rPr>
        <w:pict>
          <v:shape id="_x0000_i1031" type="#_x0000_t75" style="width:423pt;height:190.5pt;visibility:visible" o:bordertopcolor="black" o:borderleftcolor="black" o:borderbottomcolor="black" o:borderrightcolor="black">
            <v:imagedata r:id="rId22" o:title=""/>
            <w10:bordertop type="single" width="4"/>
            <w10:borderleft type="single" width="4"/>
            <w10:borderbottom type="single" width="4"/>
            <w10:borderright type="single" width="4"/>
          </v:shape>
        </w:pict>
      </w:r>
    </w:p>
    <w:p w:rsidR="00FE25AB" w:rsidRDefault="00FE25AB">
      <w:pPr>
        <w:ind w:left="0"/>
        <w:jc w:val="right"/>
      </w:pPr>
    </w:p>
    <w:p w:rsidR="00FE25AB" w:rsidRDefault="00FE25AB">
      <w:pPr>
        <w:pStyle w:val="Subsection"/>
      </w:pPr>
      <w:r>
        <w:tab/>
      </w:r>
    </w:p>
    <w:p w:rsidR="00FE25AB" w:rsidRDefault="00FE25AB">
      <w:pPr>
        <w:pStyle w:val="Subsection"/>
      </w:pPr>
      <w:r>
        <w:br w:type="page"/>
      </w:r>
      <w:r>
        <w:lastRenderedPageBreak/>
        <w:t xml:space="preserve">Table 5b - Milestones </w:t>
      </w:r>
    </w:p>
    <w:p w:rsidR="00FE25AB" w:rsidRDefault="00FE25AB">
      <w:pPr>
        <w:ind w:left="0"/>
        <w:rPr>
          <w:b/>
          <w:bCs/>
        </w:rPr>
      </w:pPr>
    </w:p>
    <w:tbl>
      <w:tblPr>
        <w:tblW w:w="86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
        <w:gridCol w:w="1441"/>
        <w:gridCol w:w="1441"/>
        <w:gridCol w:w="1441"/>
        <w:gridCol w:w="1441"/>
        <w:gridCol w:w="1442"/>
      </w:tblGrid>
      <w:tr w:rsidR="00FE25AB">
        <w:trPr>
          <w:trHeight w:val="1042"/>
        </w:trPr>
        <w:tc>
          <w:tcPr>
            <w:tcW w:w="1441" w:type="dxa"/>
            <w:vAlign w:val="center"/>
          </w:tcPr>
          <w:p w:rsidR="00FE25AB" w:rsidRDefault="00FE25AB">
            <w:pPr>
              <w:ind w:left="0"/>
              <w:jc w:val="center"/>
              <w:rPr>
                <w:sz w:val="20"/>
                <w:szCs w:val="20"/>
              </w:rPr>
            </w:pPr>
            <w:r>
              <w:rPr>
                <w:sz w:val="20"/>
                <w:szCs w:val="20"/>
              </w:rPr>
              <w:t xml:space="preserve">Initial scheme design and business case </w:t>
            </w:r>
          </w:p>
        </w:tc>
        <w:tc>
          <w:tcPr>
            <w:tcW w:w="1441" w:type="dxa"/>
            <w:vAlign w:val="center"/>
          </w:tcPr>
          <w:p w:rsidR="00FE25AB" w:rsidRDefault="00FE25AB">
            <w:pPr>
              <w:ind w:left="0"/>
              <w:jc w:val="center"/>
              <w:rPr>
                <w:sz w:val="20"/>
                <w:szCs w:val="20"/>
              </w:rPr>
            </w:pPr>
            <w:r>
              <w:rPr>
                <w:sz w:val="20"/>
                <w:szCs w:val="20"/>
              </w:rPr>
              <w:t>Feasibility / detailed business case review</w:t>
            </w:r>
          </w:p>
        </w:tc>
        <w:tc>
          <w:tcPr>
            <w:tcW w:w="1441" w:type="dxa"/>
            <w:vAlign w:val="center"/>
          </w:tcPr>
          <w:p w:rsidR="00FE25AB" w:rsidRDefault="00FE25AB">
            <w:pPr>
              <w:ind w:left="0"/>
              <w:jc w:val="center"/>
              <w:rPr>
                <w:sz w:val="20"/>
                <w:szCs w:val="20"/>
              </w:rPr>
            </w:pPr>
            <w:r>
              <w:rPr>
                <w:sz w:val="20"/>
                <w:szCs w:val="20"/>
              </w:rPr>
              <w:t>Detailed design</w:t>
            </w:r>
          </w:p>
        </w:tc>
        <w:tc>
          <w:tcPr>
            <w:tcW w:w="1441" w:type="dxa"/>
            <w:vAlign w:val="center"/>
          </w:tcPr>
          <w:p w:rsidR="00FE25AB" w:rsidRDefault="00FE25AB">
            <w:pPr>
              <w:ind w:left="0"/>
              <w:jc w:val="center"/>
              <w:rPr>
                <w:sz w:val="20"/>
                <w:szCs w:val="20"/>
              </w:rPr>
            </w:pPr>
            <w:r>
              <w:rPr>
                <w:sz w:val="20"/>
                <w:szCs w:val="20"/>
              </w:rPr>
              <w:t>Procurement</w:t>
            </w:r>
          </w:p>
        </w:tc>
        <w:tc>
          <w:tcPr>
            <w:tcW w:w="1441" w:type="dxa"/>
            <w:vAlign w:val="center"/>
          </w:tcPr>
          <w:p w:rsidR="00FE25AB" w:rsidRDefault="00FE25AB">
            <w:pPr>
              <w:ind w:left="0"/>
              <w:jc w:val="center"/>
              <w:rPr>
                <w:sz w:val="20"/>
                <w:szCs w:val="20"/>
              </w:rPr>
            </w:pPr>
            <w:r>
              <w:rPr>
                <w:sz w:val="20"/>
                <w:szCs w:val="20"/>
              </w:rPr>
              <w:t>Start of construction</w:t>
            </w:r>
          </w:p>
        </w:tc>
        <w:tc>
          <w:tcPr>
            <w:tcW w:w="1442" w:type="dxa"/>
            <w:vAlign w:val="center"/>
          </w:tcPr>
          <w:p w:rsidR="00FE25AB" w:rsidRDefault="00FE25AB">
            <w:pPr>
              <w:ind w:left="0"/>
              <w:jc w:val="center"/>
              <w:rPr>
                <w:sz w:val="20"/>
                <w:szCs w:val="20"/>
              </w:rPr>
            </w:pPr>
            <w:r>
              <w:rPr>
                <w:sz w:val="20"/>
                <w:szCs w:val="20"/>
              </w:rPr>
              <w:t>Completion of construction</w:t>
            </w:r>
          </w:p>
        </w:tc>
      </w:tr>
      <w:tr w:rsidR="00FE25AB">
        <w:trPr>
          <w:trHeight w:val="822"/>
        </w:trPr>
        <w:tc>
          <w:tcPr>
            <w:tcW w:w="1441" w:type="dxa"/>
            <w:noWrap/>
            <w:vAlign w:val="center"/>
          </w:tcPr>
          <w:p w:rsidR="00FE25AB" w:rsidRDefault="00FE25AB">
            <w:pPr>
              <w:ind w:left="0"/>
              <w:jc w:val="center"/>
              <w:rPr>
                <w:sz w:val="20"/>
                <w:szCs w:val="20"/>
              </w:rPr>
            </w:pPr>
            <w:r>
              <w:rPr>
                <w:sz w:val="20"/>
                <w:szCs w:val="20"/>
              </w:rPr>
              <w:t>31/03/2015</w:t>
            </w:r>
          </w:p>
        </w:tc>
        <w:tc>
          <w:tcPr>
            <w:tcW w:w="1441" w:type="dxa"/>
            <w:noWrap/>
            <w:vAlign w:val="center"/>
          </w:tcPr>
          <w:p w:rsidR="00FE25AB" w:rsidRDefault="00FE25AB">
            <w:pPr>
              <w:ind w:left="0"/>
              <w:jc w:val="center"/>
              <w:rPr>
                <w:sz w:val="20"/>
                <w:szCs w:val="20"/>
              </w:rPr>
            </w:pPr>
            <w:r>
              <w:rPr>
                <w:sz w:val="20"/>
                <w:szCs w:val="20"/>
              </w:rPr>
              <w:t>01/01/2016</w:t>
            </w:r>
          </w:p>
        </w:tc>
        <w:tc>
          <w:tcPr>
            <w:tcW w:w="1441" w:type="dxa"/>
            <w:noWrap/>
            <w:vAlign w:val="center"/>
          </w:tcPr>
          <w:p w:rsidR="00FE25AB" w:rsidRDefault="00FE25AB">
            <w:pPr>
              <w:ind w:left="0"/>
              <w:jc w:val="center"/>
              <w:rPr>
                <w:sz w:val="20"/>
                <w:szCs w:val="20"/>
              </w:rPr>
            </w:pPr>
            <w:r>
              <w:rPr>
                <w:sz w:val="20"/>
                <w:szCs w:val="20"/>
              </w:rPr>
              <w:t>30/09/2016</w:t>
            </w:r>
          </w:p>
        </w:tc>
        <w:tc>
          <w:tcPr>
            <w:tcW w:w="1441" w:type="dxa"/>
            <w:noWrap/>
            <w:vAlign w:val="center"/>
          </w:tcPr>
          <w:p w:rsidR="00FE25AB" w:rsidRDefault="00FE25AB">
            <w:pPr>
              <w:ind w:left="0"/>
              <w:jc w:val="center"/>
              <w:rPr>
                <w:sz w:val="20"/>
                <w:szCs w:val="20"/>
              </w:rPr>
            </w:pPr>
            <w:r>
              <w:rPr>
                <w:sz w:val="20"/>
                <w:szCs w:val="20"/>
              </w:rPr>
              <w:t>31/03/2017</w:t>
            </w:r>
          </w:p>
        </w:tc>
        <w:tc>
          <w:tcPr>
            <w:tcW w:w="1441" w:type="dxa"/>
            <w:noWrap/>
            <w:vAlign w:val="center"/>
          </w:tcPr>
          <w:p w:rsidR="00FE25AB" w:rsidRDefault="00FE25AB">
            <w:pPr>
              <w:ind w:left="0"/>
              <w:jc w:val="center"/>
              <w:rPr>
                <w:sz w:val="20"/>
                <w:szCs w:val="20"/>
              </w:rPr>
            </w:pPr>
            <w:r>
              <w:rPr>
                <w:sz w:val="20"/>
                <w:szCs w:val="20"/>
              </w:rPr>
              <w:t>01/04/2017</w:t>
            </w:r>
          </w:p>
        </w:tc>
        <w:tc>
          <w:tcPr>
            <w:tcW w:w="1442" w:type="dxa"/>
            <w:noWrap/>
            <w:vAlign w:val="center"/>
          </w:tcPr>
          <w:p w:rsidR="00FE25AB" w:rsidRDefault="00FE25AB">
            <w:pPr>
              <w:ind w:left="0"/>
              <w:jc w:val="center"/>
              <w:rPr>
                <w:sz w:val="20"/>
                <w:szCs w:val="20"/>
              </w:rPr>
            </w:pPr>
            <w:r>
              <w:rPr>
                <w:sz w:val="20"/>
                <w:szCs w:val="20"/>
              </w:rPr>
              <w:t>30/06/2018</w:t>
            </w:r>
          </w:p>
        </w:tc>
      </w:tr>
    </w:tbl>
    <w:p w:rsidR="00FE25AB" w:rsidRDefault="00FE25AB">
      <w:pPr>
        <w:pStyle w:val="SectionHeading"/>
      </w:pPr>
    </w:p>
    <w:p w:rsidR="00FE25AB" w:rsidRDefault="00FE25AB">
      <w:pPr>
        <w:pStyle w:val="SectionHeading"/>
        <w:rPr>
          <w:b w:val="0"/>
          <w:bCs w:val="0"/>
          <w:sz w:val="22"/>
          <w:szCs w:val="22"/>
        </w:rPr>
      </w:pPr>
      <w:r>
        <w:rPr>
          <w:rStyle w:val="SubsectionChar"/>
          <w:rFonts w:ascii="Arial" w:hAnsi="Arial" w:cs="Arial"/>
          <w:b/>
          <w:bCs/>
          <w:sz w:val="22"/>
          <w:szCs w:val="22"/>
        </w:rPr>
        <w:t>5.2</w:t>
      </w:r>
      <w:r>
        <w:rPr>
          <w:rStyle w:val="SubsectionChar"/>
          <w:rFonts w:ascii="Arial" w:hAnsi="Arial" w:cs="Arial"/>
          <w:b/>
          <w:bCs/>
          <w:sz w:val="22"/>
          <w:szCs w:val="22"/>
        </w:rPr>
        <w:tab/>
        <w:t>Approach taken to assess commercial viability</w:t>
      </w:r>
    </w:p>
    <w:p w:rsidR="00FE25AB" w:rsidRDefault="00FE25AB"/>
    <w:p w:rsidR="00FE25AB" w:rsidRDefault="00FE25AB">
      <w:r>
        <w:t>Officers have engaged with the Council’s Category Management Team in order to carry out the necessary market assessment on the commercial viability of this project. This included:</w:t>
      </w:r>
    </w:p>
    <w:p w:rsidR="00FE25AB" w:rsidRDefault="00FE25AB">
      <w:pPr>
        <w:pStyle w:val="ListParagraph"/>
        <w:numPr>
          <w:ilvl w:val="0"/>
          <w:numId w:val="17"/>
        </w:numPr>
        <w:spacing w:after="0" w:line="240" w:lineRule="auto"/>
        <w:ind w:left="1434" w:hanging="357"/>
        <w:rPr>
          <w:rFonts w:ascii="Arial" w:hAnsi="Arial" w:cs="Arial"/>
        </w:rPr>
      </w:pPr>
      <w:r>
        <w:rPr>
          <w:rFonts w:ascii="Arial" w:hAnsi="Arial" w:cs="Arial"/>
        </w:rPr>
        <w:t>An appraisal of the current market conditions for the delivery of all aspects of the scheme;</w:t>
      </w:r>
    </w:p>
    <w:p w:rsidR="00FE25AB" w:rsidRPr="004538D1" w:rsidRDefault="00FE25AB">
      <w:pPr>
        <w:pStyle w:val="ListParagraph"/>
        <w:numPr>
          <w:ilvl w:val="0"/>
          <w:numId w:val="17"/>
        </w:numPr>
        <w:spacing w:after="0" w:line="240" w:lineRule="auto"/>
        <w:ind w:left="1434" w:hanging="357"/>
        <w:rPr>
          <w:rFonts w:ascii="Arial" w:hAnsi="Arial" w:cs="Arial"/>
        </w:rPr>
      </w:pPr>
      <w:r>
        <w:rPr>
          <w:rFonts w:ascii="Arial" w:hAnsi="Arial" w:cs="Arial"/>
        </w:rPr>
        <w:t xml:space="preserve">Consultation with project and performance management consultants for </w:t>
      </w:r>
      <w:r w:rsidRPr="004538D1">
        <w:rPr>
          <w:rFonts w:ascii="Arial" w:hAnsi="Arial" w:cs="Arial"/>
        </w:rPr>
        <w:t>additional guidance on scheme procurement and best contracting methods; and</w:t>
      </w:r>
    </w:p>
    <w:p w:rsidR="004538D1" w:rsidRPr="004538D1" w:rsidRDefault="00FE25AB" w:rsidP="004538D1">
      <w:pPr>
        <w:pStyle w:val="ListParagraph"/>
        <w:numPr>
          <w:ilvl w:val="0"/>
          <w:numId w:val="17"/>
        </w:numPr>
        <w:spacing w:after="0" w:line="240" w:lineRule="auto"/>
        <w:ind w:left="1434" w:hanging="357"/>
        <w:rPr>
          <w:rFonts w:ascii="Arial" w:hAnsi="Arial" w:cs="Arial"/>
        </w:rPr>
      </w:pPr>
      <w:r w:rsidRPr="004538D1">
        <w:rPr>
          <w:rFonts w:ascii="Arial" w:hAnsi="Arial" w:cs="Arial"/>
        </w:rPr>
        <w:t xml:space="preserve">An examination of the cost benefits of the scheme </w:t>
      </w:r>
      <w:r w:rsidR="004538D1" w:rsidRPr="004538D1">
        <w:rPr>
          <w:rFonts w:ascii="Arial" w:hAnsi="Arial" w:cs="Arial"/>
        </w:rPr>
        <w:t xml:space="preserve">(please refer to Section 4 for outcomes of assessment). </w:t>
      </w:r>
    </w:p>
    <w:p w:rsidR="004538D1" w:rsidRPr="004538D1" w:rsidRDefault="004538D1" w:rsidP="004538D1"/>
    <w:p w:rsidR="004538D1" w:rsidRPr="004538D1" w:rsidRDefault="004538D1" w:rsidP="004538D1">
      <w:r w:rsidRPr="004538D1">
        <w:t xml:space="preserve">The results of the commercial viability assessment showed an appropriately buoyant market for the procurement and contracting of the necessary elements of the scheme. Table 2b provides further details as to the benefits of the scheme options considered and the advantages of each option. As stated above, this project provides a consistency of approach and joined-up strategy by linking with other LGF funded projects that increases the commercial viability of this project and the linked LGF projects. In particular the A289/Four Elms project and Medway City Estate Connectivity Improvements will compliment this project, with access to the Estate through </w:t>
      </w:r>
      <w:proofErr w:type="spellStart"/>
      <w:r w:rsidRPr="004538D1">
        <w:t>Strood</w:t>
      </w:r>
      <w:proofErr w:type="spellEnd"/>
      <w:r w:rsidRPr="004538D1">
        <w:t xml:space="preserve"> as a main traffic tributary being one of the issues partly addressed by this scheme. </w:t>
      </w:r>
    </w:p>
    <w:p w:rsidR="00FE25AB" w:rsidRPr="004538D1" w:rsidRDefault="00FE25AB" w:rsidP="004538D1">
      <w:pPr>
        <w:pStyle w:val="ListParagraph"/>
        <w:spacing w:after="0" w:line="240" w:lineRule="auto"/>
        <w:rPr>
          <w:rFonts w:ascii="Arial" w:hAnsi="Arial" w:cs="Arial"/>
        </w:rPr>
      </w:pPr>
    </w:p>
    <w:p w:rsidR="00FE25AB" w:rsidRDefault="00FE25AB">
      <w:r>
        <w:t xml:space="preserve">Medway Council’s Category Management Team has a proven track record of successful project delivery, both in terms of quality and value for money, recognised in March 2014 at the Excellence In Public Procurement Awards 14/15 where the Team achieved the Highly Commended Award for Innovation or Initiative, and in August 2014 being shortlisted for two major award categories in the CIPS Supply Management Awards 2014. </w:t>
      </w:r>
    </w:p>
    <w:p w:rsidR="00FE25AB" w:rsidRDefault="00FE25AB"/>
    <w:p w:rsidR="00FE25AB" w:rsidRDefault="00FE25AB">
      <w:r>
        <w:t>The Team will provide support to the Project Group throughout the life of the scheme, including pre and post delivery phases. The Governance Arrangements set out in Appendix B provides additional detail on the Team’s role in the project management structure.</w:t>
      </w:r>
    </w:p>
    <w:p w:rsidR="00FE25AB" w:rsidRDefault="00FE25AB"/>
    <w:p w:rsidR="00FE25AB" w:rsidRDefault="00FE25AB">
      <w:r>
        <w:t>Key Performance Indicators will be assessed to monitor the success and viability of the project. These KPIs have been described in Section 6.3.</w:t>
      </w:r>
    </w:p>
    <w:p w:rsidR="00FE25AB" w:rsidRDefault="00FE25AB"/>
    <w:p w:rsidR="00FE25AB" w:rsidRDefault="00FE25AB">
      <w:pPr>
        <w:pStyle w:val="Subsection"/>
      </w:pPr>
      <w:r>
        <w:t>5.3</w:t>
      </w:r>
      <w:r>
        <w:tab/>
        <w:t>Procurement strategy</w:t>
      </w:r>
    </w:p>
    <w:p w:rsidR="00FE25AB" w:rsidRDefault="00FE25AB"/>
    <w:p w:rsidR="00FE25AB" w:rsidRDefault="00FE25AB">
      <w:r>
        <w:t>In order to achieve the best outcome for the project officers are currently considering two procurement strategies; the two-stage approach and; the traditional approach. The proposed timescale and process for the two stage is set out in Table 5c below:</w:t>
      </w:r>
    </w:p>
    <w:p w:rsidR="00FE25AB" w:rsidRDefault="00FE25AB"/>
    <w:p w:rsidR="00FE25AB" w:rsidRDefault="00FE25AB">
      <w:pPr>
        <w:rPr>
          <w:b/>
          <w:bCs/>
        </w:rPr>
      </w:pPr>
      <w:r>
        <w:rPr>
          <w:b/>
          <w:bCs/>
        </w:rPr>
        <w:t>Table 5c – Two-Stage Procurement Strategy</w:t>
      </w:r>
    </w:p>
    <w:p w:rsidR="00FE25AB" w:rsidRDefault="00FE25AB">
      <w:pPr>
        <w:pStyle w:val="Subsection"/>
      </w:pPr>
    </w:p>
    <w:tbl>
      <w:tblPr>
        <w:tblW w:w="88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8"/>
        <w:gridCol w:w="1681"/>
        <w:gridCol w:w="5522"/>
      </w:tblGrid>
      <w:tr w:rsidR="00FE25AB">
        <w:trPr>
          <w:cantSplit/>
        </w:trPr>
        <w:tc>
          <w:tcPr>
            <w:tcW w:w="1276" w:type="dxa"/>
            <w:vMerge w:val="restart"/>
          </w:tcPr>
          <w:p w:rsidR="00FE25AB" w:rsidRDefault="00FE25AB">
            <w:pPr>
              <w:ind w:left="176"/>
            </w:pPr>
            <w:r>
              <w:t>Pre Tender Stage</w:t>
            </w:r>
          </w:p>
        </w:tc>
        <w:tc>
          <w:tcPr>
            <w:tcW w:w="1701" w:type="dxa"/>
          </w:tcPr>
          <w:p w:rsidR="00FE25AB" w:rsidRDefault="00FE25AB">
            <w:pPr>
              <w:ind w:left="0"/>
            </w:pPr>
            <w:r>
              <w:t>1. In House Preparation / Appointment of Consultants</w:t>
            </w:r>
          </w:p>
        </w:tc>
        <w:tc>
          <w:tcPr>
            <w:tcW w:w="5854" w:type="dxa"/>
          </w:tcPr>
          <w:p w:rsidR="00FE25AB" w:rsidRDefault="00FE25AB">
            <w:pPr>
              <w:ind w:left="113"/>
            </w:pPr>
            <w:r>
              <w:t>The Client prepares a business case for its proposed project and develops this into a project brief that forms the basis for selection of a Designer and Cost Consultant (either in-house or pursuant to a new EU-compliant procedure or under an existing framework / alliance / long-term contract);</w:t>
            </w:r>
          </w:p>
        </w:tc>
      </w:tr>
      <w:tr w:rsidR="00FE25AB">
        <w:trPr>
          <w:cantSplit/>
        </w:trPr>
        <w:tc>
          <w:tcPr>
            <w:tcW w:w="1276" w:type="dxa"/>
            <w:vMerge/>
          </w:tcPr>
          <w:p w:rsidR="00FE25AB" w:rsidRDefault="00FE25AB">
            <w:pPr>
              <w:ind w:left="176"/>
            </w:pPr>
          </w:p>
        </w:tc>
        <w:tc>
          <w:tcPr>
            <w:tcW w:w="1701" w:type="dxa"/>
          </w:tcPr>
          <w:p w:rsidR="00FE25AB" w:rsidRDefault="00FE25AB">
            <w:pPr>
              <w:ind w:left="0"/>
            </w:pPr>
            <w:r>
              <w:t>2. Consultant Preparation</w:t>
            </w:r>
          </w:p>
        </w:tc>
        <w:tc>
          <w:tcPr>
            <w:tcW w:w="5854" w:type="dxa"/>
          </w:tcPr>
          <w:p w:rsidR="00FE25AB" w:rsidRDefault="00FE25AB">
            <w:pPr>
              <w:ind w:left="113"/>
            </w:pPr>
            <w:r>
              <w:t>The selected designer creates a concept design and the selected cost Consultant creates a Project Budget, in each case for Client approval;</w:t>
            </w:r>
          </w:p>
        </w:tc>
      </w:tr>
      <w:tr w:rsidR="00FE25AB">
        <w:trPr>
          <w:cantSplit/>
        </w:trPr>
        <w:tc>
          <w:tcPr>
            <w:tcW w:w="1276" w:type="dxa"/>
            <w:vMerge w:val="restart"/>
          </w:tcPr>
          <w:p w:rsidR="00FE25AB" w:rsidRDefault="00FE25AB">
            <w:pPr>
              <w:ind w:left="176"/>
            </w:pPr>
            <w:r>
              <w:t>Stage 1 (Tender)</w:t>
            </w:r>
          </w:p>
        </w:tc>
        <w:tc>
          <w:tcPr>
            <w:tcW w:w="1701" w:type="dxa"/>
            <w:vMerge w:val="restart"/>
          </w:tcPr>
          <w:p w:rsidR="00FE25AB" w:rsidRDefault="00FE25AB">
            <w:pPr>
              <w:ind w:left="0"/>
            </w:pPr>
            <w:r>
              <w:t>3. Market Engagement / Appointment of Main Contractor</w:t>
            </w:r>
          </w:p>
        </w:tc>
        <w:tc>
          <w:tcPr>
            <w:tcW w:w="5854" w:type="dxa"/>
          </w:tcPr>
          <w:p w:rsidR="00FE25AB" w:rsidRDefault="00FE25AB">
            <w:pPr>
              <w:ind w:left="113"/>
            </w:pPr>
            <w:r>
              <w:t>The Client issues the project brief, approved concept design and Project Budget to the market, and invites proposals that will form the basis for their appointment under Conditional Contracts (pursuant to new EU-compliant procedures or under existing frameworks / alliances / long-term contracts);</w:t>
            </w:r>
          </w:p>
        </w:tc>
      </w:tr>
      <w:tr w:rsidR="00FE25AB">
        <w:trPr>
          <w:cantSplit/>
        </w:trPr>
        <w:tc>
          <w:tcPr>
            <w:tcW w:w="1276" w:type="dxa"/>
            <w:vMerge/>
          </w:tcPr>
          <w:p w:rsidR="00FE25AB" w:rsidRDefault="00FE25AB">
            <w:pPr>
              <w:ind w:left="176"/>
            </w:pPr>
          </w:p>
        </w:tc>
        <w:tc>
          <w:tcPr>
            <w:tcW w:w="1701" w:type="dxa"/>
            <w:vMerge/>
          </w:tcPr>
          <w:p w:rsidR="00FE25AB" w:rsidRDefault="00FE25AB">
            <w:pPr>
              <w:ind w:left="0"/>
            </w:pPr>
          </w:p>
        </w:tc>
        <w:tc>
          <w:tcPr>
            <w:tcW w:w="5854" w:type="dxa"/>
          </w:tcPr>
          <w:p w:rsidR="00FE25AB" w:rsidRDefault="00FE25AB">
            <w:pPr>
              <w:ind w:left="113"/>
            </w:pPr>
            <w:r>
              <w:t>Bidder submissions will include appropriate design and other project proposals for evaluation, as well as Consultant fees and Contractor fees / profit/ overheads – and, where appropriate, the costing of work/supply package proposals from preferred Subcontractors and Suppliers;</w:t>
            </w:r>
          </w:p>
        </w:tc>
      </w:tr>
      <w:tr w:rsidR="00FE25AB">
        <w:trPr>
          <w:cantSplit/>
        </w:trPr>
        <w:tc>
          <w:tcPr>
            <w:tcW w:w="1276" w:type="dxa"/>
            <w:vMerge w:val="restart"/>
          </w:tcPr>
          <w:p w:rsidR="00FE25AB" w:rsidRDefault="00FE25AB">
            <w:pPr>
              <w:ind w:left="176"/>
            </w:pPr>
            <w:r>
              <w:t>Stage 2 (Pre Construction Agreement)</w:t>
            </w:r>
          </w:p>
        </w:tc>
        <w:tc>
          <w:tcPr>
            <w:tcW w:w="1701" w:type="dxa"/>
            <w:vMerge w:val="restart"/>
          </w:tcPr>
          <w:p w:rsidR="00FE25AB" w:rsidRDefault="00FE25AB">
            <w:pPr>
              <w:ind w:left="0"/>
            </w:pPr>
            <w:r>
              <w:t>4. Pre-Construction Phase</w:t>
            </w:r>
          </w:p>
        </w:tc>
        <w:tc>
          <w:tcPr>
            <w:tcW w:w="5854" w:type="dxa"/>
          </w:tcPr>
          <w:p w:rsidR="00FE25AB" w:rsidRDefault="00FE25AB">
            <w:pPr>
              <w:ind w:left="113"/>
            </w:pPr>
            <w:r>
              <w:t>The successful Contractor and Consultant team are appointed to then work up a proposal on the basis of an Open Book cost that meets the Client’s stated outcomes and cost benchmark as a second stage;</w:t>
            </w:r>
          </w:p>
        </w:tc>
      </w:tr>
      <w:tr w:rsidR="00FE25AB">
        <w:trPr>
          <w:cantSplit/>
        </w:trPr>
        <w:tc>
          <w:tcPr>
            <w:tcW w:w="1276" w:type="dxa"/>
            <w:vMerge/>
          </w:tcPr>
          <w:p w:rsidR="00FE25AB" w:rsidRDefault="00FE25AB">
            <w:pPr>
              <w:ind w:left="176"/>
            </w:pPr>
          </w:p>
        </w:tc>
        <w:tc>
          <w:tcPr>
            <w:tcW w:w="1701" w:type="dxa"/>
            <w:vMerge/>
          </w:tcPr>
          <w:p w:rsidR="00FE25AB" w:rsidRDefault="00FE25AB">
            <w:pPr>
              <w:ind w:left="0"/>
            </w:pPr>
          </w:p>
        </w:tc>
        <w:tc>
          <w:tcPr>
            <w:tcW w:w="5854" w:type="dxa"/>
          </w:tcPr>
          <w:p w:rsidR="00FE25AB" w:rsidRDefault="00FE25AB">
            <w:pPr>
              <w:ind w:left="113"/>
            </w:pPr>
            <w:r>
              <w:t>The selected Integrated Team, comprising the Client, Consultants and Contractor (together with any provisionally approved Subcontractors and Suppliers), carries out agreed Preconstruction Phase activities under the terms of their Conditional Contracts and in accordance with a Preconstruction Phase Timetable, including build-up of developed design in respect of the project and each work/supply package, together with Project Budget reconciliations for Client approval;</w:t>
            </w:r>
          </w:p>
        </w:tc>
      </w:tr>
      <w:tr w:rsidR="00FE25AB">
        <w:trPr>
          <w:cantSplit/>
        </w:trPr>
        <w:tc>
          <w:tcPr>
            <w:tcW w:w="1276" w:type="dxa"/>
            <w:vMerge/>
          </w:tcPr>
          <w:p w:rsidR="00FE25AB" w:rsidRDefault="00FE25AB">
            <w:pPr>
              <w:ind w:left="176"/>
            </w:pPr>
          </w:p>
        </w:tc>
        <w:tc>
          <w:tcPr>
            <w:tcW w:w="1701" w:type="dxa"/>
            <w:vMerge/>
          </w:tcPr>
          <w:p w:rsidR="00FE25AB" w:rsidRDefault="00FE25AB">
            <w:pPr>
              <w:ind w:left="0"/>
            </w:pPr>
          </w:p>
        </w:tc>
        <w:tc>
          <w:tcPr>
            <w:tcW w:w="5854" w:type="dxa"/>
          </w:tcPr>
          <w:p w:rsidR="00FE25AB" w:rsidRDefault="00FE25AB">
            <w:pPr>
              <w:ind w:left="113"/>
            </w:pPr>
            <w:r>
              <w:t>As developed design is approved, subject to review and value engineering as appropriate, the Integrated Team then builds up the technical design in respect of the project and each work / supply package for Client approval;</w:t>
            </w:r>
          </w:p>
        </w:tc>
      </w:tr>
      <w:tr w:rsidR="00FE25AB">
        <w:trPr>
          <w:cantSplit/>
        </w:trPr>
        <w:tc>
          <w:tcPr>
            <w:tcW w:w="1276" w:type="dxa"/>
            <w:vMerge/>
          </w:tcPr>
          <w:p w:rsidR="00FE25AB" w:rsidRDefault="00FE25AB">
            <w:pPr>
              <w:ind w:left="176"/>
            </w:pPr>
          </w:p>
        </w:tc>
        <w:tc>
          <w:tcPr>
            <w:tcW w:w="1701" w:type="dxa"/>
            <w:vMerge w:val="restart"/>
          </w:tcPr>
          <w:p w:rsidR="00FE25AB" w:rsidRDefault="00FE25AB">
            <w:pPr>
              <w:ind w:left="0"/>
            </w:pPr>
            <w:r>
              <w:t>5. Supply Chain Engagement</w:t>
            </w:r>
          </w:p>
        </w:tc>
        <w:tc>
          <w:tcPr>
            <w:tcW w:w="5854" w:type="dxa"/>
          </w:tcPr>
          <w:p w:rsidR="00FE25AB" w:rsidRDefault="00FE25AB">
            <w:pPr>
              <w:ind w:left="113"/>
            </w:pPr>
            <w:r>
              <w:t>Contractor issues approved developed design or technical design (dependent on the extent of design proposals invited) to any provisionally approved Subcontractors and Suppliers for particular work / supply packages and creates a business case for review / development / finalisation of their work / supply package and costs and for Client approval;</w:t>
            </w:r>
          </w:p>
        </w:tc>
      </w:tr>
      <w:tr w:rsidR="00FE25AB">
        <w:trPr>
          <w:cantSplit/>
        </w:trPr>
        <w:tc>
          <w:tcPr>
            <w:tcW w:w="1276" w:type="dxa"/>
            <w:vMerge/>
          </w:tcPr>
          <w:p w:rsidR="00FE25AB" w:rsidRDefault="00FE25AB">
            <w:pPr>
              <w:ind w:left="176"/>
            </w:pPr>
          </w:p>
        </w:tc>
        <w:tc>
          <w:tcPr>
            <w:tcW w:w="1701" w:type="dxa"/>
            <w:vMerge/>
          </w:tcPr>
          <w:p w:rsidR="00FE25AB" w:rsidRDefault="00FE25AB">
            <w:pPr>
              <w:ind w:left="0"/>
            </w:pPr>
          </w:p>
        </w:tc>
        <w:tc>
          <w:tcPr>
            <w:tcW w:w="5854" w:type="dxa"/>
          </w:tcPr>
          <w:p w:rsidR="00FE25AB" w:rsidRDefault="00FE25AB">
            <w:pPr>
              <w:ind w:left="113"/>
            </w:pPr>
            <w:r>
              <w:t>Contractor issues approved developed design or technical design (dependent on the extent of design proposals invited) with an Enquiry Document approved by the Client to prospective Subcontractors and Suppliers for each remaining work / supply package and invites them to submit tenders comprising proposals and costs for that work / supply package;</w:t>
            </w:r>
          </w:p>
        </w:tc>
      </w:tr>
      <w:tr w:rsidR="00FE25AB">
        <w:trPr>
          <w:cantSplit/>
        </w:trPr>
        <w:tc>
          <w:tcPr>
            <w:tcW w:w="1276" w:type="dxa"/>
            <w:vMerge/>
          </w:tcPr>
          <w:p w:rsidR="00FE25AB" w:rsidRDefault="00FE25AB">
            <w:pPr>
              <w:ind w:left="176"/>
            </w:pPr>
          </w:p>
        </w:tc>
        <w:tc>
          <w:tcPr>
            <w:tcW w:w="1701" w:type="dxa"/>
            <w:vMerge w:val="restart"/>
          </w:tcPr>
          <w:p w:rsidR="00FE25AB" w:rsidRDefault="00FE25AB">
            <w:pPr>
              <w:ind w:left="0"/>
            </w:pPr>
            <w:r>
              <w:t>6. Finalisation of Design and Cost</w:t>
            </w:r>
          </w:p>
        </w:tc>
        <w:tc>
          <w:tcPr>
            <w:tcW w:w="5854" w:type="dxa"/>
          </w:tcPr>
          <w:p w:rsidR="00FE25AB" w:rsidRDefault="00FE25AB">
            <w:pPr>
              <w:ind w:left="113"/>
            </w:pPr>
            <w:r>
              <w:t>As successive Subcontractors and Suppliers are selected, the expanded Integrated Team finalises the technical design, confirms the components of the agreed costs for the project, and develops a Construction Phase programme;</w:t>
            </w:r>
          </w:p>
        </w:tc>
      </w:tr>
      <w:tr w:rsidR="00FE25AB">
        <w:trPr>
          <w:cantSplit/>
        </w:trPr>
        <w:tc>
          <w:tcPr>
            <w:tcW w:w="1276" w:type="dxa"/>
            <w:vMerge/>
          </w:tcPr>
          <w:p w:rsidR="00FE25AB" w:rsidRDefault="00FE25AB">
            <w:pPr>
              <w:ind w:left="176"/>
            </w:pPr>
          </w:p>
        </w:tc>
        <w:tc>
          <w:tcPr>
            <w:tcW w:w="1701" w:type="dxa"/>
            <w:vMerge/>
          </w:tcPr>
          <w:p w:rsidR="00FE25AB" w:rsidRDefault="00FE25AB">
            <w:pPr>
              <w:ind w:left="0"/>
            </w:pPr>
          </w:p>
        </w:tc>
        <w:tc>
          <w:tcPr>
            <w:tcW w:w="5854" w:type="dxa"/>
          </w:tcPr>
          <w:p w:rsidR="00FE25AB" w:rsidRDefault="00FE25AB">
            <w:pPr>
              <w:ind w:left="113"/>
            </w:pPr>
            <w:r>
              <w:t>The expanded Integrated Team undertakes joint risk management activities so as to minimise any risk contingencies quoted by the Contractor and so as to establish a robust and acceptable basis for the Construction Phase of the project to proceed;</w:t>
            </w:r>
          </w:p>
        </w:tc>
      </w:tr>
      <w:tr w:rsidR="00FE25AB">
        <w:trPr>
          <w:cantSplit/>
        </w:trPr>
        <w:tc>
          <w:tcPr>
            <w:tcW w:w="1276" w:type="dxa"/>
            <w:vMerge/>
          </w:tcPr>
          <w:p w:rsidR="00FE25AB" w:rsidRDefault="00FE25AB">
            <w:pPr>
              <w:ind w:left="176"/>
            </w:pPr>
          </w:p>
        </w:tc>
        <w:tc>
          <w:tcPr>
            <w:tcW w:w="1701" w:type="dxa"/>
            <w:vMerge/>
          </w:tcPr>
          <w:p w:rsidR="00FE25AB" w:rsidRDefault="00FE25AB">
            <w:pPr>
              <w:ind w:left="0"/>
            </w:pPr>
          </w:p>
        </w:tc>
        <w:tc>
          <w:tcPr>
            <w:tcW w:w="5854" w:type="dxa"/>
          </w:tcPr>
          <w:p w:rsidR="00FE25AB" w:rsidRDefault="00FE25AB">
            <w:pPr>
              <w:ind w:left="113"/>
            </w:pPr>
            <w:r>
              <w:t>If required, the Client authorises Early Works Orders to be undertaken by agreed Integrated Team members for agreed costs in advance of the Construction Phase of the project;</w:t>
            </w:r>
          </w:p>
        </w:tc>
      </w:tr>
      <w:tr w:rsidR="00FE25AB">
        <w:trPr>
          <w:trHeight w:val="3902"/>
        </w:trPr>
        <w:tc>
          <w:tcPr>
            <w:tcW w:w="1276" w:type="dxa"/>
          </w:tcPr>
          <w:p w:rsidR="00FE25AB" w:rsidRDefault="00FE25AB">
            <w:pPr>
              <w:ind w:left="176"/>
            </w:pPr>
            <w:r>
              <w:t>Construction Phase</w:t>
            </w:r>
          </w:p>
        </w:tc>
        <w:tc>
          <w:tcPr>
            <w:tcW w:w="1701" w:type="dxa"/>
          </w:tcPr>
          <w:p w:rsidR="00FE25AB" w:rsidRDefault="00FE25AB">
            <w:pPr>
              <w:ind w:left="0"/>
            </w:pPr>
            <w:r>
              <w:t>7. Construction Phase</w:t>
            </w:r>
          </w:p>
        </w:tc>
        <w:tc>
          <w:tcPr>
            <w:tcW w:w="5854" w:type="dxa"/>
          </w:tcPr>
          <w:p w:rsidR="00FE25AB" w:rsidRDefault="00FE25AB">
            <w:pPr>
              <w:ind w:left="113"/>
            </w:pPr>
            <w:r>
              <w:t>When technical design and costs and a Construction Phase programme have been sufficiently developed, supported by acceptable conclusion to agreed risk management activities, the Client confirms that the conditions set out in the Conditional Contracts have been satisfied and authorises the Integrated Team to undertake the Construction Phase of the project on the basis of:</w:t>
            </w:r>
          </w:p>
          <w:p w:rsidR="00FE25AB" w:rsidRDefault="00FE25AB">
            <w:pPr>
              <w:ind w:left="113"/>
            </w:pPr>
          </w:p>
          <w:p w:rsidR="00FE25AB" w:rsidRDefault="00FE25AB">
            <w:pPr>
              <w:ind w:left="113"/>
            </w:pPr>
            <w:r>
              <w:t>Technical design compliant with the project brief and agreed by the Integrated Team;</w:t>
            </w:r>
          </w:p>
          <w:p w:rsidR="00FE25AB" w:rsidRDefault="00FE25AB">
            <w:pPr>
              <w:ind w:left="113"/>
            </w:pPr>
            <w:r>
              <w:t>Fixed price or target cost within the Project Budget and agreed by the Integrated Team;</w:t>
            </w:r>
          </w:p>
          <w:p w:rsidR="00FE25AB" w:rsidRDefault="00FE25AB">
            <w:pPr>
              <w:ind w:left="113"/>
            </w:pPr>
            <w:r>
              <w:t>A risk management position agreed by the Integrated Team;</w:t>
            </w:r>
          </w:p>
          <w:p w:rsidR="00FE25AB" w:rsidRDefault="00FE25AB">
            <w:pPr>
              <w:ind w:left="113"/>
            </w:pPr>
            <w:r>
              <w:t>A Construction Phase programme agreed by the Integrated Team.</w:t>
            </w:r>
          </w:p>
        </w:tc>
      </w:tr>
    </w:tbl>
    <w:p w:rsidR="00FE25AB" w:rsidRDefault="00FE25AB"/>
    <w:p w:rsidR="00FE25AB" w:rsidRDefault="00FE25AB">
      <w:r>
        <w:t>The traditional approach if taken forward will include a more independent design stage, with the market approached subsequently for the procurement of scheme construction. Officers are continuing with the necessary due diligence on the appropriateness of the approach for this project and will finalise the specific procurement strategy by March 2015. Officers will ensure that the final strategy:</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Enables full project mobilisation within the funding period</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Has clearly defined financial implications</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Has clearly defined risk allocations</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 xml:space="preserve">Specific project timescales, including implementation timeframe. </w:t>
      </w:r>
    </w:p>
    <w:p w:rsidR="00FE25AB" w:rsidRDefault="00FE25AB">
      <w:r>
        <w:t>In order to minimise overrun and contingency arrangements, officers are also considering the appropriateness of either a fixed price or target price contract, and how risk and contingency will be best managed in order to maximise deliverable outcomes for the project. Specific contracts being considered for the project are:</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lastRenderedPageBreak/>
        <w:t>JCT Constructing Excellence (Construction phase need adapting for pre construction phase)</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NEC3 Option C (Construction phase need adapting for pre construction phase)</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PPC2000</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Public Sector Partnership Contract Option 6 (Option 10 is the preconstruction phase)</w:t>
      </w:r>
    </w:p>
    <w:p w:rsidR="00FE25AB" w:rsidRDefault="00FE25AB">
      <w:pPr>
        <w:pStyle w:val="ListParagraph"/>
        <w:numPr>
          <w:ilvl w:val="0"/>
          <w:numId w:val="18"/>
        </w:numPr>
        <w:spacing w:after="100" w:afterAutospacing="1" w:line="240" w:lineRule="auto"/>
        <w:rPr>
          <w:rFonts w:ascii="Arial" w:hAnsi="Arial" w:cs="Arial"/>
        </w:rPr>
      </w:pPr>
      <w:r>
        <w:rPr>
          <w:rFonts w:ascii="Arial" w:hAnsi="Arial" w:cs="Arial"/>
        </w:rPr>
        <w:t>TPC2005 (Includes 2 stage open book mobilization phase)</w:t>
      </w:r>
    </w:p>
    <w:p w:rsidR="00FE25AB" w:rsidRDefault="00FE25AB">
      <w:r>
        <w:t xml:space="preserve">The chosen procurement strategy will be fully supported by the Council’s own internal procurement governance arrangements (public details of which can be found here </w:t>
      </w:r>
      <w:hyperlink r:id="rId23" w:history="1">
        <w:r>
          <w:rPr>
            <w:rStyle w:val="Hyperlink"/>
            <w:rFonts w:ascii="Arial" w:hAnsi="Arial" w:cs="Arial"/>
          </w:rPr>
          <w:t>http://www.medway.gov.uk/businessandinvestment/procurement.aspx</w:t>
        </w:r>
      </w:hyperlink>
      <w:r>
        <w:t>), including a comprehensive Gateway reporting process, procurement support and guidance from the Council’s dedicated Category Management Team, and additional due diligence on all key scheme proposals and awards through the Council’s Divisional Management Team (attended by senior Council officers and service heads), Procurement Board (attended by senior Council officers, service heads, and member portfolio holders), and if necessary full Cabinet. Officers have also engaged with the Council’s own internal Audit Team from the first stages of this project in order to provide additional surety around the scheme management process and the project deliverability.</w:t>
      </w:r>
    </w:p>
    <w:p w:rsidR="00FE25AB" w:rsidRDefault="00FE25AB">
      <w:pPr>
        <w:pStyle w:val="SectionHeading"/>
        <w:rPr>
          <w:color w:val="FF0000"/>
        </w:rPr>
      </w:pPr>
    </w:p>
    <w:p w:rsidR="004538D1" w:rsidRPr="004538D1" w:rsidRDefault="004538D1" w:rsidP="004538D1">
      <w:pPr>
        <w:rPr>
          <w:lang w:eastAsia="en-GB"/>
        </w:rPr>
      </w:pPr>
      <w:r w:rsidRPr="004538D1">
        <w:rPr>
          <w:lang w:eastAsia="en-GB"/>
        </w:rPr>
        <w:t>In terms of the appropriate contracting strategy for the scale and size of this project, Medway as part of its commitment to superior delivery of all projects, will contract manage the delivery of this project by utilising the Councils electronic Contract management tool. This tool is suitable for projects of all sizes and can be specifically tailored to suit the scale of the project involved. In addition, there will be regular project meetings with the Project Management team, the contractor and the Procurement team to ensure that there all possible issues are anticipated and addressed appropriately, and that the project is progressing effectively, to budget and to timetable. PRINCE2 methodology will also be scaled to suit the project in order to ensure the most effective contracting approach is taken.</w:t>
      </w:r>
    </w:p>
    <w:p w:rsidR="004538D1" w:rsidRPr="004538D1" w:rsidRDefault="004538D1" w:rsidP="004538D1">
      <w:pPr>
        <w:rPr>
          <w:lang w:eastAsia="en-GB"/>
        </w:rPr>
      </w:pPr>
    </w:p>
    <w:p w:rsidR="004538D1" w:rsidRPr="004538D1" w:rsidRDefault="004538D1" w:rsidP="004538D1">
      <w:r w:rsidRPr="004538D1">
        <w:t xml:space="preserve">With regard to procurement strategy for a project of this scale, Medway Council is committed to supporting SMEs, local business, local employment and training opportunities through all of its projects. These objectives are incorporated into the Councils standard tender documentation in the form of questions and method statement requests that test bidders experience of delivering social value through local supply chain, employment and apprenticeship opportunities. These questions are separated by testing a bidder’s previous experience of delivery through specific questions at the pre-qualification stage in order to shortlist those bidders who have demonstrated experience and commitment to these objectives on previous projects. These shortlisted bidders are then tested again with specific delivery questions that ask them to detail how, on the project they are bidding for, will they be able to support the economic, social and environmental factors outlined in the project requirements. The answers given will be scored and will contribute to the overall price / quality score for the bidder, which will provide a ranking based on scores highest to lowest. </w:t>
      </w:r>
    </w:p>
    <w:p w:rsidR="004538D1" w:rsidRPr="004538D1" w:rsidRDefault="004538D1" w:rsidP="004538D1"/>
    <w:p w:rsidR="004538D1" w:rsidRPr="004538D1" w:rsidRDefault="004538D1" w:rsidP="004538D1">
      <w:r w:rsidRPr="004538D1">
        <w:t>Ensuring quality contractors are delivering this project will be of paramount importance. As a result there will be a stronger emphasis on quality at the award stage of the tender. Capital Projects that are in excess of £4.3m are subject to the EU Procurement Regulations which state that an advert must be place in the Official Journal of the European Union (OJEU) and depending on what procedure is chosen, the necessary prescribed timelines are to be adhered to. Medway Council uses the E-tendering system ‘</w:t>
      </w:r>
      <w:proofErr w:type="spellStart"/>
      <w:r w:rsidRPr="004538D1">
        <w:t>ProContract</w:t>
      </w:r>
      <w:proofErr w:type="spellEnd"/>
      <w:r w:rsidRPr="004538D1">
        <w:t xml:space="preserve">’ which is available to all bidders and is known as the Kent Business Portal. All opportunities that the Council has are advertised through the portal, whether they are </w:t>
      </w:r>
      <w:r w:rsidRPr="004538D1">
        <w:lastRenderedPageBreak/>
        <w:t>in excess of the EU thresholds or not. Not only does this ensure that there is a complete audit trail which protects the Council and individual officers in the event of a challenge, it also gives bidders confidence that they will be treated equitably and that the process is transparent and without discrimination.</w:t>
      </w:r>
    </w:p>
    <w:p w:rsidR="004538D1" w:rsidRPr="004538D1" w:rsidRDefault="004538D1" w:rsidP="004538D1"/>
    <w:p w:rsidR="004538D1" w:rsidRPr="004538D1" w:rsidRDefault="004538D1" w:rsidP="004538D1">
      <w:r w:rsidRPr="004538D1">
        <w:t xml:space="preserve">Regarding previous procurement experience, Medway Council’s Procurement &amp; Category Management Team procure the full range of requirements for the Council ranging from social services to capital projects.  All members of the Team are members of the Chartered institute of Purchasing and Supply (CIPS) which sets standards for procurement professionals globally. One of the key lessons learnt from previous procurement projects is that the right team needs to be in place to ensure that the project can deliver the objectives and outcomes within time and budget. </w:t>
      </w:r>
    </w:p>
    <w:p w:rsidR="004538D1" w:rsidRPr="004538D1" w:rsidRDefault="004538D1" w:rsidP="004538D1"/>
    <w:p w:rsidR="004538D1" w:rsidRPr="004538D1" w:rsidRDefault="004538D1" w:rsidP="004538D1">
      <w:r w:rsidRPr="004538D1">
        <w:t xml:space="preserve">Medway Council also has a wide range of experience successfully tendering and contract managing traditional build contracts utilising JCT Design and Build as well as other forms of contracts such as NEC3 and PSPC. </w:t>
      </w:r>
    </w:p>
    <w:p w:rsidR="004538D1" w:rsidRPr="004538D1" w:rsidRDefault="004538D1" w:rsidP="004538D1"/>
    <w:p w:rsidR="004538D1" w:rsidRPr="004538D1" w:rsidRDefault="004538D1" w:rsidP="004538D1">
      <w:r w:rsidRPr="004538D1">
        <w:t>The tender process undertaken will look to ensure that the client side technical support has the correct ethos to deliver the projects and the contractors have experience of delivering these projects working collaboratively rather than adversarial approach.</w:t>
      </w:r>
    </w:p>
    <w:p w:rsidR="004538D1" w:rsidRDefault="004538D1">
      <w:pPr>
        <w:pStyle w:val="SectionHeading"/>
        <w:rPr>
          <w:color w:val="FF0000"/>
        </w:rPr>
      </w:pPr>
    </w:p>
    <w:p w:rsidR="00FE25AB" w:rsidRDefault="00FE25AB">
      <w:pPr>
        <w:ind w:left="0"/>
      </w:pPr>
    </w:p>
    <w:p w:rsidR="00FE25AB" w:rsidRDefault="00FE25AB">
      <w:pPr>
        <w:ind w:left="0"/>
        <w:rPr>
          <w:b/>
          <w:bCs/>
          <w:sz w:val="24"/>
          <w:szCs w:val="24"/>
        </w:rPr>
      </w:pPr>
      <w:r>
        <w:br w:type="page"/>
      </w:r>
    </w:p>
    <w:p w:rsidR="00FE25AB" w:rsidRDefault="00FE25AB">
      <w:pPr>
        <w:pStyle w:val="SectionHeading"/>
      </w:pPr>
      <w:r>
        <w:t>6.0</w:t>
      </w:r>
      <w:r>
        <w:tab/>
        <w:t>The Management Case</w:t>
      </w:r>
    </w:p>
    <w:p w:rsidR="00FE25AB" w:rsidRDefault="00FE25AB">
      <w:pPr>
        <w:ind w:left="0"/>
        <w:rPr>
          <w:color w:val="131311"/>
          <w:w w:val="107"/>
          <w:sz w:val="20"/>
          <w:szCs w:val="20"/>
        </w:rPr>
      </w:pPr>
    </w:p>
    <w:p w:rsidR="00FE25AB" w:rsidRDefault="00FE25AB">
      <w:pPr>
        <w:ind w:left="0"/>
        <w:rPr>
          <w:b/>
          <w:bCs/>
          <w:sz w:val="24"/>
          <w:szCs w:val="24"/>
        </w:rPr>
      </w:pPr>
      <w:r>
        <w:rPr>
          <w:b/>
          <w:bCs/>
          <w:color w:val="131311"/>
          <w:w w:val="107"/>
        </w:rPr>
        <w:t>6.1</w:t>
      </w:r>
      <w:r>
        <w:rPr>
          <w:b/>
          <w:bCs/>
          <w:color w:val="131311"/>
          <w:w w:val="107"/>
        </w:rPr>
        <w:tab/>
        <w:t>Governance &amp; Resources</w:t>
      </w:r>
    </w:p>
    <w:p w:rsidR="00FE25AB" w:rsidRDefault="00FE25AB"/>
    <w:p w:rsidR="00FE25AB" w:rsidRDefault="00FE25AB">
      <w:r>
        <w:t>Medway Council and the South East Local Enterprise Partnership (SE LEP) has arrangements in place to effectively manage and govern the projects funded through the LGF (Local Growth Fund).</w:t>
      </w:r>
    </w:p>
    <w:p w:rsidR="00FE25AB" w:rsidRDefault="00FE25AB"/>
    <w:p w:rsidR="00FE25AB" w:rsidRDefault="00FE25AB">
      <w:r>
        <w:t xml:space="preserve">There are effective management and governance arrangements in place to ensure delivery of LGF projects, including an established project management toolkit based on PRINCE2 methodology and governance arrangements that involve both elected members and senior officers of the council. </w:t>
      </w:r>
    </w:p>
    <w:p w:rsidR="00FE25AB" w:rsidRDefault="00FE25AB"/>
    <w:p w:rsidR="00FE25AB" w:rsidRDefault="00FE25AB">
      <w:r>
        <w:t xml:space="preserve">The organogram at </w:t>
      </w:r>
      <w:r>
        <w:rPr>
          <w:b/>
          <w:bCs/>
        </w:rPr>
        <w:t>Appendix B</w:t>
      </w:r>
      <w:r>
        <w:t xml:space="preserve"> summarises the structure of the LGF management and governance arrangements. Table 6a details the resources that Medway Council has in place to deliver LGF projects. In-house resources will lead on the key activities of the programme, individual projects and workstreams and will be supplemented by consultant support as required.</w:t>
      </w:r>
    </w:p>
    <w:p w:rsidR="00FE25AB" w:rsidRDefault="00FE25AB">
      <w:pPr>
        <w:rPr>
          <w:b/>
          <w:bCs/>
        </w:rPr>
      </w:pPr>
    </w:p>
    <w:p w:rsidR="00FE25AB" w:rsidRDefault="00FE25AB">
      <w:r>
        <w:rPr>
          <w:b/>
          <w:bCs/>
        </w:rPr>
        <w:t>Table 6a - Medway Council key management and governance arrangements</w:t>
      </w:r>
    </w:p>
    <w:p w:rsidR="00FE25AB" w:rsidRDefault="00FE25AB"/>
    <w:tbl>
      <w:tblPr>
        <w:tblW w:w="87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6889"/>
      </w:tblGrid>
      <w:tr w:rsidR="00FE25AB">
        <w:trPr>
          <w:jc w:val="right"/>
        </w:trPr>
        <w:tc>
          <w:tcPr>
            <w:tcW w:w="1843" w:type="dxa"/>
            <w:shd w:val="clear" w:color="auto" w:fill="D9D9D9"/>
            <w:vAlign w:val="center"/>
          </w:tcPr>
          <w:p w:rsidR="00FE25AB" w:rsidRDefault="00FE25AB">
            <w:pPr>
              <w:ind w:left="0"/>
              <w:rPr>
                <w:b/>
                <w:bCs/>
                <w:sz w:val="20"/>
                <w:szCs w:val="20"/>
              </w:rPr>
            </w:pPr>
            <w:r>
              <w:rPr>
                <w:b/>
                <w:bCs/>
                <w:sz w:val="20"/>
                <w:szCs w:val="20"/>
              </w:rPr>
              <w:t xml:space="preserve">Responsible group or officer </w:t>
            </w:r>
          </w:p>
        </w:tc>
        <w:tc>
          <w:tcPr>
            <w:tcW w:w="6889" w:type="dxa"/>
            <w:shd w:val="clear" w:color="auto" w:fill="D9D9D9"/>
            <w:vAlign w:val="center"/>
          </w:tcPr>
          <w:p w:rsidR="00FE25AB" w:rsidRDefault="00FE25AB">
            <w:pPr>
              <w:ind w:left="0"/>
              <w:rPr>
                <w:b/>
                <w:bCs/>
                <w:sz w:val="20"/>
                <w:szCs w:val="20"/>
              </w:rPr>
            </w:pPr>
            <w:r>
              <w:rPr>
                <w:b/>
                <w:bCs/>
                <w:sz w:val="20"/>
                <w:szCs w:val="20"/>
              </w:rPr>
              <w:t>Responsibility</w:t>
            </w:r>
          </w:p>
        </w:tc>
      </w:tr>
      <w:tr w:rsidR="00FE25AB">
        <w:trPr>
          <w:trHeight w:val="866"/>
          <w:jc w:val="right"/>
        </w:trPr>
        <w:tc>
          <w:tcPr>
            <w:tcW w:w="1843" w:type="dxa"/>
            <w:vAlign w:val="center"/>
          </w:tcPr>
          <w:p w:rsidR="00FE25AB" w:rsidRDefault="00FE25AB">
            <w:pPr>
              <w:ind w:left="0"/>
              <w:jc w:val="right"/>
              <w:rPr>
                <w:b/>
                <w:bCs/>
              </w:rPr>
            </w:pPr>
            <w:r>
              <w:rPr>
                <w:b/>
                <w:bCs/>
              </w:rPr>
              <w:t>Cabinet</w:t>
            </w:r>
          </w:p>
        </w:tc>
        <w:tc>
          <w:tcPr>
            <w:tcW w:w="6889" w:type="dxa"/>
            <w:vAlign w:val="center"/>
          </w:tcPr>
          <w:p w:rsidR="00FE25AB" w:rsidRDefault="00FE25AB">
            <w:pPr>
              <w:ind w:left="0"/>
            </w:pPr>
            <w:r>
              <w:t>Member group that manages council business including high value/high risk procurement and projects including LGF projects. Cabinet meets every three weeks.</w:t>
            </w:r>
          </w:p>
        </w:tc>
      </w:tr>
      <w:tr w:rsidR="00FE25AB">
        <w:trPr>
          <w:jc w:val="right"/>
        </w:trPr>
        <w:tc>
          <w:tcPr>
            <w:tcW w:w="1843" w:type="dxa"/>
            <w:vAlign w:val="center"/>
          </w:tcPr>
          <w:p w:rsidR="00FE25AB" w:rsidRDefault="00FE25AB">
            <w:pPr>
              <w:ind w:left="0"/>
              <w:jc w:val="right"/>
              <w:rPr>
                <w:b/>
                <w:bCs/>
              </w:rPr>
            </w:pPr>
            <w:r>
              <w:rPr>
                <w:b/>
                <w:bCs/>
              </w:rPr>
              <w:t>Member Advisory Project Board</w:t>
            </w:r>
          </w:p>
        </w:tc>
        <w:tc>
          <w:tcPr>
            <w:tcW w:w="6889" w:type="dxa"/>
            <w:vAlign w:val="center"/>
          </w:tcPr>
          <w:p w:rsidR="00FE25AB" w:rsidRDefault="00FE25AB">
            <w:pPr>
              <w:spacing w:before="100" w:beforeAutospacing="1" w:after="100" w:afterAutospacing="1"/>
              <w:ind w:left="0" w:right="450"/>
            </w:pPr>
            <w:r>
              <w:t xml:space="preserve">Member overview of project development and delivery. The Board </w:t>
            </w:r>
            <w:r>
              <w:rPr>
                <w:color w:val="000000"/>
              </w:rPr>
              <w:t xml:space="preserve">reviews, analyses and scrutinizes progress on the directorate’s capital programme and, where relevant, specific large/complex projects. </w:t>
            </w:r>
            <w:r>
              <w:t>Board is chaired by Frontline Services Portfolio Holder. LGF reports are regularly considered by this Board.</w:t>
            </w:r>
          </w:p>
        </w:tc>
      </w:tr>
      <w:tr w:rsidR="00FE25AB">
        <w:trPr>
          <w:trHeight w:val="842"/>
          <w:jc w:val="right"/>
        </w:trPr>
        <w:tc>
          <w:tcPr>
            <w:tcW w:w="1843" w:type="dxa"/>
            <w:vAlign w:val="center"/>
          </w:tcPr>
          <w:p w:rsidR="00FE25AB" w:rsidRDefault="00FE25AB">
            <w:pPr>
              <w:ind w:left="0"/>
              <w:jc w:val="right"/>
              <w:rPr>
                <w:b/>
                <w:bCs/>
              </w:rPr>
            </w:pPr>
            <w:r>
              <w:rPr>
                <w:b/>
                <w:bCs/>
              </w:rPr>
              <w:t>Procurement Board</w:t>
            </w:r>
          </w:p>
        </w:tc>
        <w:tc>
          <w:tcPr>
            <w:tcW w:w="6889" w:type="dxa"/>
            <w:vAlign w:val="center"/>
          </w:tcPr>
          <w:p w:rsidR="00FE25AB" w:rsidRDefault="00FE25AB">
            <w:pPr>
              <w:ind w:left="0"/>
            </w:pPr>
            <w:r>
              <w:t>Member board that agrees and scrutinises procurement activity. This Board will consider the procurement strategy for each LGF project, consider submitted tenders and scrutinise outcomes.</w:t>
            </w:r>
          </w:p>
        </w:tc>
      </w:tr>
      <w:tr w:rsidR="00FE25AB">
        <w:trPr>
          <w:trHeight w:val="3719"/>
          <w:jc w:val="right"/>
        </w:trPr>
        <w:tc>
          <w:tcPr>
            <w:tcW w:w="1843" w:type="dxa"/>
            <w:vAlign w:val="center"/>
          </w:tcPr>
          <w:p w:rsidR="00FE25AB" w:rsidRDefault="00FE25AB">
            <w:pPr>
              <w:ind w:left="0"/>
              <w:jc w:val="right"/>
            </w:pPr>
            <w:r>
              <w:rPr>
                <w:b/>
                <w:bCs/>
              </w:rPr>
              <w:t>Officer Project Group</w:t>
            </w:r>
            <w:r>
              <w:t xml:space="preserve"> </w:t>
            </w:r>
          </w:p>
          <w:p w:rsidR="00FE25AB" w:rsidRDefault="00FE25AB">
            <w:pPr>
              <w:ind w:left="0"/>
              <w:jc w:val="right"/>
            </w:pPr>
            <w:r>
              <w:t>for Regeneration Community &amp; Culture Directorate (RCC)</w:t>
            </w:r>
          </w:p>
        </w:tc>
        <w:tc>
          <w:tcPr>
            <w:tcW w:w="6889" w:type="dxa"/>
            <w:vAlign w:val="center"/>
          </w:tcPr>
          <w:p w:rsidR="00FE25AB" w:rsidRDefault="00FE25AB">
            <w:pPr>
              <w:ind w:left="0"/>
            </w:pPr>
            <w:r>
              <w:t xml:space="preserve">Senior officer project management of all LGF projects. </w:t>
            </w:r>
          </w:p>
          <w:p w:rsidR="00FE25AB" w:rsidRDefault="00FE25AB">
            <w:pPr>
              <w:ind w:left="0"/>
              <w:rPr>
                <w:color w:val="000000"/>
              </w:rPr>
            </w:pPr>
            <w:r>
              <w:rPr>
                <w:color w:val="000000"/>
              </w:rPr>
              <w:t>The Group is responsible for the strategic management of the project and has authority to commit resources to the project in accordance with the Council’s Constitution. General tasks include:</w:t>
            </w:r>
          </w:p>
          <w:p w:rsidR="00FE25AB" w:rsidRDefault="00FE25AB">
            <w:pPr>
              <w:numPr>
                <w:ilvl w:val="0"/>
                <w:numId w:val="8"/>
              </w:numPr>
              <w:ind w:left="714" w:right="448" w:hanging="357"/>
              <w:rPr>
                <w:color w:val="000000"/>
              </w:rPr>
            </w:pPr>
            <w:r>
              <w:rPr>
                <w:color w:val="000000"/>
              </w:rPr>
              <w:t xml:space="preserve">appointing the project manager; </w:t>
            </w:r>
          </w:p>
          <w:p w:rsidR="00FE25AB" w:rsidRDefault="00FE25AB">
            <w:pPr>
              <w:numPr>
                <w:ilvl w:val="0"/>
                <w:numId w:val="8"/>
              </w:numPr>
              <w:ind w:left="714" w:right="448" w:hanging="357"/>
              <w:rPr>
                <w:color w:val="000000"/>
              </w:rPr>
            </w:pPr>
            <w:r>
              <w:rPr>
                <w:color w:val="000000"/>
              </w:rPr>
              <w:t xml:space="preserve">signing off the project brief and business case; </w:t>
            </w:r>
          </w:p>
          <w:p w:rsidR="00FE25AB" w:rsidRDefault="00FE25AB">
            <w:pPr>
              <w:numPr>
                <w:ilvl w:val="0"/>
                <w:numId w:val="8"/>
              </w:numPr>
              <w:ind w:left="714" w:right="448" w:hanging="357"/>
              <w:rPr>
                <w:color w:val="000000"/>
              </w:rPr>
            </w:pPr>
            <w:r>
              <w:rPr>
                <w:color w:val="000000"/>
              </w:rPr>
              <w:t xml:space="preserve">approving the PID; </w:t>
            </w:r>
          </w:p>
          <w:p w:rsidR="00FE25AB" w:rsidRDefault="00FE25AB">
            <w:pPr>
              <w:numPr>
                <w:ilvl w:val="0"/>
                <w:numId w:val="8"/>
              </w:numPr>
              <w:ind w:left="714" w:right="448" w:hanging="357"/>
              <w:rPr>
                <w:color w:val="000000"/>
              </w:rPr>
            </w:pPr>
            <w:r>
              <w:rPr>
                <w:color w:val="000000"/>
              </w:rPr>
              <w:t xml:space="preserve">agreeing project controls; </w:t>
            </w:r>
          </w:p>
          <w:p w:rsidR="00FE25AB" w:rsidRDefault="00FE25AB">
            <w:pPr>
              <w:numPr>
                <w:ilvl w:val="0"/>
                <w:numId w:val="8"/>
              </w:numPr>
              <w:ind w:left="714" w:right="448" w:hanging="357"/>
              <w:rPr>
                <w:color w:val="000000"/>
              </w:rPr>
            </w:pPr>
            <w:r>
              <w:rPr>
                <w:color w:val="000000"/>
              </w:rPr>
              <w:t xml:space="preserve">authorising project start; </w:t>
            </w:r>
          </w:p>
          <w:p w:rsidR="00FE25AB" w:rsidRDefault="00FE25AB">
            <w:pPr>
              <w:numPr>
                <w:ilvl w:val="0"/>
                <w:numId w:val="8"/>
              </w:numPr>
              <w:ind w:left="714" w:right="448" w:hanging="357"/>
              <w:rPr>
                <w:color w:val="000000"/>
              </w:rPr>
            </w:pPr>
            <w:r>
              <w:rPr>
                <w:color w:val="000000"/>
              </w:rPr>
              <w:t xml:space="preserve">authorising variations to expenditure; </w:t>
            </w:r>
          </w:p>
          <w:p w:rsidR="00FE25AB" w:rsidRDefault="00FE25AB">
            <w:pPr>
              <w:numPr>
                <w:ilvl w:val="0"/>
                <w:numId w:val="8"/>
              </w:numPr>
              <w:ind w:left="714" w:right="448" w:hanging="357"/>
              <w:rPr>
                <w:color w:val="000000"/>
              </w:rPr>
            </w:pPr>
            <w:r>
              <w:rPr>
                <w:color w:val="000000"/>
              </w:rPr>
              <w:t xml:space="preserve">managing key risks in the highlighted risk log; </w:t>
            </w:r>
          </w:p>
          <w:p w:rsidR="00FE25AB" w:rsidRDefault="00FE25AB">
            <w:pPr>
              <w:numPr>
                <w:ilvl w:val="0"/>
                <w:numId w:val="8"/>
              </w:numPr>
              <w:ind w:left="714" w:right="448" w:hanging="357"/>
              <w:rPr>
                <w:color w:val="000000"/>
              </w:rPr>
            </w:pPr>
            <w:r>
              <w:rPr>
                <w:color w:val="000000"/>
              </w:rPr>
              <w:t xml:space="preserve">and authorising project closure. </w:t>
            </w:r>
          </w:p>
          <w:p w:rsidR="00FE25AB" w:rsidRDefault="00FE25AB">
            <w:pPr>
              <w:ind w:left="0"/>
            </w:pPr>
            <w:r>
              <w:t>An LGF update report is a standing item on the agenda. The Group meets every four weeks.</w:t>
            </w:r>
          </w:p>
        </w:tc>
      </w:tr>
      <w:tr w:rsidR="00FE25AB">
        <w:trPr>
          <w:trHeight w:val="598"/>
          <w:jc w:val="right"/>
        </w:trPr>
        <w:tc>
          <w:tcPr>
            <w:tcW w:w="1843" w:type="dxa"/>
            <w:vAlign w:val="center"/>
          </w:tcPr>
          <w:p w:rsidR="00FE25AB" w:rsidRDefault="00FE25AB">
            <w:pPr>
              <w:ind w:left="0"/>
              <w:jc w:val="right"/>
              <w:rPr>
                <w:b/>
                <w:bCs/>
              </w:rPr>
            </w:pPr>
            <w:r>
              <w:rPr>
                <w:b/>
                <w:bCs/>
              </w:rPr>
              <w:t>Project Sponsor</w:t>
            </w:r>
          </w:p>
        </w:tc>
        <w:tc>
          <w:tcPr>
            <w:tcW w:w="6889" w:type="dxa"/>
            <w:vAlign w:val="center"/>
          </w:tcPr>
          <w:p w:rsidR="00FE25AB" w:rsidRDefault="00FE25AB">
            <w:pPr>
              <w:ind w:left="0"/>
            </w:pPr>
            <w:r>
              <w:t>Independent of the project and provides challenge to ensure project is delivered on time, within budget and achieving the anticipated benefits</w:t>
            </w:r>
          </w:p>
          <w:p w:rsidR="00FE25AB" w:rsidRDefault="00FE25AB">
            <w:pPr>
              <w:ind w:left="0"/>
            </w:pPr>
          </w:p>
        </w:tc>
      </w:tr>
      <w:tr w:rsidR="00FE25AB">
        <w:trPr>
          <w:jc w:val="right"/>
        </w:trPr>
        <w:tc>
          <w:tcPr>
            <w:tcW w:w="1843" w:type="dxa"/>
            <w:vAlign w:val="center"/>
          </w:tcPr>
          <w:p w:rsidR="00FE25AB" w:rsidRDefault="00FE25AB">
            <w:pPr>
              <w:ind w:left="0"/>
              <w:jc w:val="right"/>
              <w:rPr>
                <w:b/>
                <w:bCs/>
              </w:rPr>
            </w:pPr>
            <w:r>
              <w:rPr>
                <w:b/>
                <w:bCs/>
              </w:rPr>
              <w:lastRenderedPageBreak/>
              <w:t>Head of Local Growth Fund Projects</w:t>
            </w:r>
          </w:p>
        </w:tc>
        <w:tc>
          <w:tcPr>
            <w:tcW w:w="6889" w:type="dxa"/>
            <w:vAlign w:val="center"/>
          </w:tcPr>
          <w:p w:rsidR="00FE25AB" w:rsidRDefault="00FE25AB">
            <w:pPr>
              <w:ind w:left="0"/>
            </w:pPr>
            <w:r>
              <w:t>Lead on managing and being responsible for Medway’s LGF programme of projects. Includes operating at a high level with government, SE LEP and the Independent Technical Evaluator.</w:t>
            </w:r>
          </w:p>
          <w:p w:rsidR="00FE25AB" w:rsidRDefault="00FE25AB">
            <w:pPr>
              <w:ind w:left="0"/>
            </w:pPr>
            <w:r>
              <w:t>This post filled and operational.</w:t>
            </w:r>
          </w:p>
          <w:p w:rsidR="00FE25AB" w:rsidRDefault="00FE25AB">
            <w:pPr>
              <w:ind w:left="0"/>
            </w:pPr>
          </w:p>
        </w:tc>
      </w:tr>
      <w:tr w:rsidR="00FE25AB">
        <w:trPr>
          <w:jc w:val="right"/>
        </w:trPr>
        <w:tc>
          <w:tcPr>
            <w:tcW w:w="1843" w:type="dxa"/>
            <w:vAlign w:val="center"/>
          </w:tcPr>
          <w:p w:rsidR="00FE25AB" w:rsidRDefault="00FE25AB">
            <w:pPr>
              <w:ind w:left="0"/>
              <w:jc w:val="right"/>
              <w:rPr>
                <w:b/>
                <w:bCs/>
              </w:rPr>
            </w:pPr>
            <w:r>
              <w:rPr>
                <w:b/>
                <w:bCs/>
              </w:rPr>
              <w:t>Project Owner</w:t>
            </w:r>
          </w:p>
        </w:tc>
        <w:tc>
          <w:tcPr>
            <w:tcW w:w="6889" w:type="dxa"/>
            <w:vAlign w:val="center"/>
          </w:tcPr>
          <w:p w:rsidR="00FE25AB" w:rsidRDefault="00FE25AB">
            <w:pPr>
              <w:ind w:left="0"/>
            </w:pPr>
            <w:r>
              <w:t>Ensures governance arrangements and Medway project management principles are adhered to.</w:t>
            </w:r>
          </w:p>
          <w:p w:rsidR="00FE25AB" w:rsidRDefault="00FE25AB">
            <w:pPr>
              <w:ind w:left="0"/>
            </w:pPr>
            <w:r>
              <w:t>Ensures the project is technically and financially viable and compliant with the organisation’s corporate standards and strategic business plans.</w:t>
            </w:r>
          </w:p>
          <w:p w:rsidR="00FE25AB" w:rsidRDefault="00FE25AB">
            <w:pPr>
              <w:ind w:left="0"/>
            </w:pPr>
            <w:r>
              <w:t>Owns the Business Case, funding and cost allocation for the project.</w:t>
            </w:r>
          </w:p>
          <w:p w:rsidR="00FE25AB" w:rsidRDefault="00FE25AB">
            <w:pPr>
              <w:ind w:left="0"/>
            </w:pPr>
            <w:r>
              <w:t>Provides leadership and direction throughout the project.</w:t>
            </w:r>
          </w:p>
          <w:p w:rsidR="00FE25AB" w:rsidRDefault="00FE25AB">
            <w:pPr>
              <w:ind w:left="0"/>
            </w:pPr>
            <w:r>
              <w:t>Is responsible and accountable for ensuring the project remains focussed on achieving its objectives and that the anticipated benefits can be achieved. </w:t>
            </w:r>
          </w:p>
          <w:p w:rsidR="00FE25AB" w:rsidRDefault="00FE25AB">
            <w:pPr>
              <w:ind w:left="0"/>
            </w:pPr>
            <w:r>
              <w:t>Attend the directorate Officer Project Board to lead discussions on the project.</w:t>
            </w:r>
          </w:p>
          <w:p w:rsidR="00FE25AB" w:rsidRDefault="00FE25AB">
            <w:pPr>
              <w:ind w:left="0"/>
            </w:pPr>
            <w:r>
              <w:t>Provides sufficient induction for the Project Manager to ensure s/he has the best understanding of the project.</w:t>
            </w:r>
          </w:p>
          <w:p w:rsidR="00FE25AB" w:rsidRDefault="00FE25AB">
            <w:pPr>
              <w:ind w:left="0"/>
            </w:pPr>
            <w:r>
              <w:t>Chair implementation board if required.</w:t>
            </w:r>
          </w:p>
        </w:tc>
      </w:tr>
      <w:tr w:rsidR="00FE25AB">
        <w:trPr>
          <w:trHeight w:val="4400"/>
          <w:jc w:val="right"/>
        </w:trPr>
        <w:tc>
          <w:tcPr>
            <w:tcW w:w="1843" w:type="dxa"/>
            <w:vAlign w:val="center"/>
          </w:tcPr>
          <w:p w:rsidR="00FE25AB" w:rsidRDefault="00FE25AB">
            <w:pPr>
              <w:ind w:left="0"/>
              <w:jc w:val="right"/>
              <w:rPr>
                <w:b/>
                <w:bCs/>
              </w:rPr>
            </w:pPr>
            <w:r>
              <w:rPr>
                <w:b/>
                <w:bCs/>
              </w:rPr>
              <w:t>Project Manager</w:t>
            </w:r>
          </w:p>
        </w:tc>
        <w:tc>
          <w:tcPr>
            <w:tcW w:w="6889" w:type="dxa"/>
            <w:vAlign w:val="center"/>
          </w:tcPr>
          <w:p w:rsidR="00FE25AB" w:rsidRDefault="00FE25AB">
            <w:pPr>
              <w:ind w:left="0"/>
            </w:pPr>
            <w:r>
              <w:t>Responsible for delivering the project on behalf of the project owner and officer project board. </w:t>
            </w:r>
          </w:p>
          <w:p w:rsidR="00FE25AB" w:rsidRDefault="00FE25AB">
            <w:pPr>
              <w:ind w:left="0"/>
            </w:pPr>
            <w:r>
              <w:t>Leads and manages the Project Team with the Authority and responsibility to run the project on a day-to-day basis.</w:t>
            </w:r>
          </w:p>
          <w:p w:rsidR="00FE25AB" w:rsidRDefault="00FE25AB">
            <w:pPr>
              <w:ind w:left="0"/>
            </w:pPr>
            <w:r>
              <w:t>Delivers the right outputs, to the required level of quality and within the specified constraints of time, cost, resources and risk.</w:t>
            </w:r>
          </w:p>
          <w:p w:rsidR="00FE25AB" w:rsidRDefault="00FE25AB">
            <w:pPr>
              <w:ind w:left="0"/>
            </w:pPr>
            <w:r>
              <w:t>Prepare project information, including PID, Project Plan and Business Case.</w:t>
            </w:r>
          </w:p>
          <w:p w:rsidR="00FE25AB" w:rsidRDefault="00FE25AB">
            <w:pPr>
              <w:ind w:left="0"/>
            </w:pPr>
            <w:r>
              <w:t>Identify and evaluate risks, determine and manage actions, and maintain the risk log.</w:t>
            </w:r>
          </w:p>
          <w:p w:rsidR="00FE25AB" w:rsidRDefault="00FE25AB">
            <w:pPr>
              <w:ind w:left="0"/>
            </w:pPr>
            <w:r>
              <w:t>Manage and control changes to scope, requirements, personnel etc.</w:t>
            </w:r>
          </w:p>
          <w:p w:rsidR="00FE25AB" w:rsidRDefault="00FE25AB">
            <w:pPr>
              <w:ind w:left="0"/>
            </w:pPr>
            <w:r>
              <w:t>Ensure project’s resource plans and costs include sufficient, properly skilled support.  </w:t>
            </w:r>
          </w:p>
          <w:p w:rsidR="00FE25AB" w:rsidRDefault="00FE25AB">
            <w:pPr>
              <w:ind w:left="0"/>
            </w:pPr>
            <w:r>
              <w:t>Monitor and report progress against plans, quality and costs.</w:t>
            </w:r>
          </w:p>
          <w:p w:rsidR="00FE25AB" w:rsidRDefault="00FE25AB">
            <w:pPr>
              <w:ind w:left="0"/>
            </w:pPr>
            <w:r>
              <w:t>Liaise with the Project Owner and Officer Project Board for their approval and decisions at key project stages.</w:t>
            </w:r>
          </w:p>
        </w:tc>
      </w:tr>
      <w:tr w:rsidR="00FE25AB">
        <w:trPr>
          <w:trHeight w:val="1197"/>
          <w:jc w:val="right"/>
        </w:trPr>
        <w:tc>
          <w:tcPr>
            <w:tcW w:w="1843" w:type="dxa"/>
            <w:vAlign w:val="center"/>
          </w:tcPr>
          <w:p w:rsidR="00FE25AB" w:rsidRDefault="00FE25AB">
            <w:pPr>
              <w:ind w:left="0"/>
              <w:jc w:val="right"/>
              <w:rPr>
                <w:b/>
                <w:bCs/>
              </w:rPr>
            </w:pPr>
            <w:r>
              <w:rPr>
                <w:b/>
                <w:bCs/>
              </w:rPr>
              <w:t>Head of Place, Category Management service</w:t>
            </w:r>
          </w:p>
        </w:tc>
        <w:tc>
          <w:tcPr>
            <w:tcW w:w="6889" w:type="dxa"/>
            <w:vAlign w:val="center"/>
          </w:tcPr>
          <w:p w:rsidR="00FE25AB" w:rsidRDefault="00FE25AB">
            <w:pPr>
              <w:ind w:left="0"/>
            </w:pPr>
            <w:r>
              <w:t>Lead on providing procurement advice.</w:t>
            </w:r>
          </w:p>
        </w:tc>
      </w:tr>
      <w:tr w:rsidR="00FE25AB">
        <w:trPr>
          <w:trHeight w:val="1311"/>
          <w:jc w:val="right"/>
        </w:trPr>
        <w:tc>
          <w:tcPr>
            <w:tcW w:w="1843" w:type="dxa"/>
            <w:vAlign w:val="center"/>
          </w:tcPr>
          <w:p w:rsidR="00FE25AB" w:rsidRDefault="00FE25AB">
            <w:pPr>
              <w:ind w:left="0"/>
              <w:jc w:val="right"/>
              <w:rPr>
                <w:b/>
                <w:bCs/>
              </w:rPr>
            </w:pPr>
            <w:r>
              <w:rPr>
                <w:b/>
                <w:bCs/>
              </w:rPr>
              <w:t>Head of Internal Audit</w:t>
            </w:r>
          </w:p>
        </w:tc>
        <w:tc>
          <w:tcPr>
            <w:tcW w:w="6889" w:type="dxa"/>
            <w:vAlign w:val="center"/>
          </w:tcPr>
          <w:p w:rsidR="00FE25AB" w:rsidRDefault="00FE25AB">
            <w:pPr>
              <w:ind w:left="0"/>
            </w:pPr>
            <w:r>
              <w:t>Lead on providing financial governance advice. Involved in the programme from an early stage.</w:t>
            </w:r>
          </w:p>
        </w:tc>
      </w:tr>
    </w:tbl>
    <w:p w:rsidR="00FE25AB" w:rsidRDefault="00FE25AB"/>
    <w:p w:rsidR="00FE25AB" w:rsidRDefault="00FE25AB">
      <w:r>
        <w:t>Table 6b details the key activities and responsibilities of the SE LEP to manage the LGF.</w:t>
      </w:r>
    </w:p>
    <w:p w:rsidR="00FE25AB" w:rsidRDefault="00FE25AB"/>
    <w:p w:rsidR="00FE25AB" w:rsidRDefault="00FE25AB"/>
    <w:p w:rsidR="00FE25AB" w:rsidRDefault="00FE25AB"/>
    <w:p w:rsidR="00FE25AB" w:rsidRDefault="00FE25AB"/>
    <w:p w:rsidR="00FE25AB" w:rsidRDefault="00FE25AB">
      <w:pPr>
        <w:ind w:left="0" w:firstLine="720"/>
        <w:rPr>
          <w:b/>
          <w:bCs/>
        </w:rPr>
      </w:pPr>
      <w:r>
        <w:rPr>
          <w:b/>
          <w:bCs/>
        </w:rPr>
        <w:t>Table 6b – SE LEP key management and governance arrangements</w:t>
      </w:r>
    </w:p>
    <w:p w:rsidR="00FE25AB" w:rsidRDefault="00FE25AB"/>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2409"/>
        <w:gridCol w:w="4338"/>
      </w:tblGrid>
      <w:tr w:rsidR="00FE25AB">
        <w:trPr>
          <w:trHeight w:val="544"/>
          <w:jc w:val="right"/>
        </w:trPr>
        <w:tc>
          <w:tcPr>
            <w:tcW w:w="1985" w:type="dxa"/>
            <w:shd w:val="clear" w:color="auto" w:fill="D9D9D9"/>
            <w:vAlign w:val="center"/>
          </w:tcPr>
          <w:p w:rsidR="00FE25AB" w:rsidRDefault="00FE25AB">
            <w:pPr>
              <w:ind w:left="0"/>
              <w:rPr>
                <w:b/>
                <w:bCs/>
                <w:sz w:val="20"/>
                <w:szCs w:val="20"/>
              </w:rPr>
            </w:pPr>
            <w:r>
              <w:rPr>
                <w:b/>
                <w:bCs/>
                <w:sz w:val="20"/>
                <w:szCs w:val="20"/>
              </w:rPr>
              <w:t>Activity</w:t>
            </w:r>
          </w:p>
        </w:tc>
        <w:tc>
          <w:tcPr>
            <w:tcW w:w="2409" w:type="dxa"/>
            <w:shd w:val="clear" w:color="auto" w:fill="D9D9D9"/>
            <w:vAlign w:val="center"/>
          </w:tcPr>
          <w:p w:rsidR="00FE25AB" w:rsidRDefault="00FE25AB">
            <w:pPr>
              <w:ind w:left="0"/>
              <w:rPr>
                <w:b/>
                <w:bCs/>
                <w:sz w:val="20"/>
                <w:szCs w:val="20"/>
              </w:rPr>
            </w:pPr>
            <w:r>
              <w:rPr>
                <w:b/>
                <w:bCs/>
                <w:sz w:val="20"/>
                <w:szCs w:val="20"/>
              </w:rPr>
              <w:t>Responsible body</w:t>
            </w:r>
          </w:p>
        </w:tc>
        <w:tc>
          <w:tcPr>
            <w:tcW w:w="4338" w:type="dxa"/>
            <w:shd w:val="clear" w:color="auto" w:fill="D9D9D9"/>
            <w:vAlign w:val="center"/>
          </w:tcPr>
          <w:p w:rsidR="00FE25AB" w:rsidRDefault="00FE25AB">
            <w:pPr>
              <w:ind w:left="0"/>
              <w:rPr>
                <w:b/>
                <w:bCs/>
                <w:sz w:val="20"/>
                <w:szCs w:val="20"/>
              </w:rPr>
            </w:pPr>
            <w:r>
              <w:rPr>
                <w:b/>
                <w:bCs/>
                <w:sz w:val="20"/>
                <w:szCs w:val="20"/>
              </w:rPr>
              <w:t>Responsibility</w:t>
            </w:r>
          </w:p>
        </w:tc>
      </w:tr>
      <w:tr w:rsidR="00FE25AB">
        <w:trPr>
          <w:cantSplit/>
          <w:trHeight w:val="714"/>
          <w:jc w:val="right"/>
        </w:trPr>
        <w:tc>
          <w:tcPr>
            <w:tcW w:w="1985" w:type="dxa"/>
            <w:vMerge w:val="restart"/>
            <w:vAlign w:val="center"/>
          </w:tcPr>
          <w:p w:rsidR="00FE25AB" w:rsidRDefault="00FE25AB">
            <w:pPr>
              <w:ind w:left="0"/>
            </w:pPr>
            <w:r>
              <w:t>Project approval and overarching project management and review</w:t>
            </w:r>
          </w:p>
        </w:tc>
        <w:tc>
          <w:tcPr>
            <w:tcW w:w="2409" w:type="dxa"/>
            <w:vAlign w:val="center"/>
          </w:tcPr>
          <w:p w:rsidR="00FE25AB" w:rsidRDefault="00FE25AB">
            <w:pPr>
              <w:ind w:left="0"/>
            </w:pPr>
            <w:r>
              <w:t>SE LEP Board</w:t>
            </w:r>
          </w:p>
        </w:tc>
        <w:tc>
          <w:tcPr>
            <w:tcW w:w="4338" w:type="dxa"/>
            <w:vAlign w:val="center"/>
          </w:tcPr>
          <w:p w:rsidR="00FE25AB" w:rsidRDefault="00FE25AB">
            <w:pPr>
              <w:ind w:left="0"/>
            </w:pPr>
            <w:r>
              <w:t>Approval of projects and release of funding to Transport Authorities. Monitoring delivery and project outcomes.</w:t>
            </w:r>
          </w:p>
        </w:tc>
      </w:tr>
      <w:tr w:rsidR="00FE25AB">
        <w:trPr>
          <w:cantSplit/>
          <w:trHeight w:val="841"/>
          <w:jc w:val="right"/>
        </w:trPr>
        <w:tc>
          <w:tcPr>
            <w:tcW w:w="1985" w:type="dxa"/>
            <w:vMerge/>
            <w:vAlign w:val="center"/>
          </w:tcPr>
          <w:p w:rsidR="00FE25AB" w:rsidRDefault="00FE25AB"/>
        </w:tc>
        <w:tc>
          <w:tcPr>
            <w:tcW w:w="2409" w:type="dxa"/>
            <w:vAlign w:val="center"/>
          </w:tcPr>
          <w:p w:rsidR="00FE25AB" w:rsidRDefault="00FE25AB">
            <w:pPr>
              <w:ind w:left="0"/>
            </w:pPr>
            <w:r>
              <w:t>Independent Technical Evaluator (Appointed by the SE LEP)</w:t>
            </w:r>
          </w:p>
        </w:tc>
        <w:tc>
          <w:tcPr>
            <w:tcW w:w="4338" w:type="dxa"/>
            <w:vAlign w:val="center"/>
          </w:tcPr>
          <w:p w:rsidR="00FE25AB" w:rsidRDefault="00FE25AB">
            <w:pPr>
              <w:ind w:left="0"/>
            </w:pPr>
            <w:r>
              <w:t>Appraise business cases prepared by Local Transport Authorities and provide guidance to the SE LEP Board</w:t>
            </w:r>
          </w:p>
        </w:tc>
      </w:tr>
    </w:tbl>
    <w:p w:rsidR="00FE25AB" w:rsidRDefault="00FE25AB">
      <w:pPr>
        <w:pStyle w:val="SectionHeading"/>
      </w:pPr>
    </w:p>
    <w:p w:rsidR="00FE25AB" w:rsidRDefault="00FE25AB">
      <w:pPr>
        <w:ind w:left="0"/>
        <w:rPr>
          <w:b/>
          <w:bCs/>
        </w:rPr>
      </w:pPr>
      <w:r>
        <w:rPr>
          <w:b/>
          <w:bCs/>
        </w:rPr>
        <w:t>6.2</w:t>
      </w:r>
      <w:r>
        <w:rPr>
          <w:b/>
          <w:bCs/>
        </w:rPr>
        <w:tab/>
        <w:t>Communication and Stakeholder Management Strategy</w:t>
      </w:r>
    </w:p>
    <w:p w:rsidR="00FE25AB" w:rsidRDefault="00FE25AB">
      <w:pPr>
        <w:ind w:left="0"/>
      </w:pPr>
    </w:p>
    <w:p w:rsidR="00FE25AB" w:rsidRDefault="00FE25AB">
      <w:r>
        <w:t xml:space="preserve">The figure below shows the engagement approach to be used for various different stakeholders and interest groups.  </w:t>
      </w:r>
    </w:p>
    <w:p w:rsidR="00FE25AB" w:rsidRDefault="00FE25AB">
      <w:pPr>
        <w:rPr>
          <w:b/>
          <w:bCs/>
        </w:rPr>
      </w:pPr>
    </w:p>
    <w:p w:rsidR="00FE25AB" w:rsidRDefault="00FE25AB">
      <w:pPr>
        <w:rPr>
          <w:b/>
          <w:bCs/>
        </w:rPr>
      </w:pPr>
      <w:r>
        <w:rPr>
          <w:b/>
          <w:bCs/>
        </w:rPr>
        <w:t>Stakeholder Management Plan</w:t>
      </w:r>
    </w:p>
    <w:p w:rsidR="00FE25AB" w:rsidRDefault="00FE25AB"/>
    <w:tbl>
      <w:tblPr>
        <w:tblW w:w="451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2824"/>
        <w:gridCol w:w="3607"/>
      </w:tblGrid>
      <w:tr w:rsidR="00FE25AB">
        <w:trPr>
          <w:trHeight w:val="958"/>
        </w:trPr>
        <w:tc>
          <w:tcPr>
            <w:tcW w:w="5000" w:type="pct"/>
            <w:gridSpan w:val="3"/>
            <w:shd w:val="clear" w:color="auto" w:fill="F2F2F2"/>
            <w:vAlign w:val="center"/>
          </w:tcPr>
          <w:p w:rsidR="00FE25AB" w:rsidRDefault="00FE25AB">
            <w:pPr>
              <w:keepNext/>
              <w:keepLines/>
              <w:tabs>
                <w:tab w:val="left" w:pos="1985"/>
              </w:tabs>
              <w:ind w:left="0"/>
              <w:rPr>
                <w:b/>
                <w:bCs/>
              </w:rPr>
            </w:pPr>
            <w:r>
              <w:rPr>
                <w:b/>
                <w:bCs/>
              </w:rPr>
              <w:t xml:space="preserve">Itemised stakeholders to be handled in  accordance with interest / influence matrix </w:t>
            </w:r>
          </w:p>
        </w:tc>
      </w:tr>
      <w:tr w:rsidR="00FE25AB">
        <w:trPr>
          <w:cantSplit/>
          <w:trHeight w:val="1666"/>
        </w:trPr>
        <w:tc>
          <w:tcPr>
            <w:tcW w:w="738" w:type="pct"/>
            <w:vMerge w:val="restart"/>
            <w:vAlign w:val="center"/>
          </w:tcPr>
          <w:p w:rsidR="00FE25AB" w:rsidRDefault="00FE25AB">
            <w:pPr>
              <w:keepNext/>
              <w:keepLines/>
              <w:tabs>
                <w:tab w:val="left" w:pos="1985"/>
              </w:tabs>
              <w:spacing w:before="120"/>
              <w:ind w:left="0"/>
              <w:rPr>
                <w:b/>
                <w:bCs/>
              </w:rPr>
            </w:pPr>
            <w:r>
              <w:rPr>
                <w:b/>
                <w:bCs/>
              </w:rPr>
              <w:t xml:space="preserve">   High</w:t>
            </w:r>
          </w:p>
          <w:p w:rsidR="00FE25AB" w:rsidRDefault="004D0481">
            <w:pPr>
              <w:keepNext/>
              <w:keepLines/>
              <w:tabs>
                <w:tab w:val="left" w:pos="1985"/>
              </w:tabs>
              <w:spacing w:before="120"/>
              <w:jc w:val="right"/>
              <w:rPr>
                <w:b/>
                <w:bCs/>
              </w:rPr>
            </w:pPr>
            <w:r>
              <w:rPr>
                <w:noProof/>
                <w:lang w:eastAsia="en-GB"/>
              </w:rPr>
              <w:pict>
                <v:shape id="Elbow Connector 3" o:spid="_x0000_s1070" type="#_x0000_t32" style="position:absolute;left:0;text-align:left;margin-left:-44.6pt;margin-top:81.3pt;width:134.55pt;height:0;rotation:270;z-index:251627008;visibility:visible;mso-wrap-distance-left:3.17494mm;mso-wrap-distance-right:3.17494mm" adj="-28848,-1,-28848">
                  <v:stroke endarrow="block"/>
                </v:shape>
              </w:pict>
            </w:r>
          </w:p>
          <w:p w:rsidR="00FE25AB" w:rsidRDefault="00FE25AB">
            <w:pPr>
              <w:keepNext/>
              <w:keepLines/>
              <w:tabs>
                <w:tab w:val="left" w:pos="1985"/>
              </w:tabs>
              <w:spacing w:before="120"/>
              <w:jc w:val="right"/>
              <w:rPr>
                <w:b/>
                <w:bCs/>
              </w:rPr>
            </w:pPr>
          </w:p>
          <w:p w:rsidR="00FE25AB" w:rsidRDefault="00FE25AB">
            <w:pPr>
              <w:keepNext/>
              <w:keepLines/>
              <w:tabs>
                <w:tab w:val="left" w:pos="1985"/>
              </w:tabs>
              <w:spacing w:before="120"/>
              <w:jc w:val="right"/>
              <w:rPr>
                <w:b/>
                <w:bCs/>
              </w:rPr>
            </w:pPr>
          </w:p>
          <w:p w:rsidR="00FE25AB" w:rsidRDefault="00FE25AB">
            <w:pPr>
              <w:keepNext/>
              <w:keepLines/>
              <w:tabs>
                <w:tab w:val="left" w:pos="1985"/>
              </w:tabs>
              <w:spacing w:before="120"/>
              <w:rPr>
                <w:b/>
                <w:bCs/>
              </w:rPr>
            </w:pPr>
            <w:r>
              <w:rPr>
                <w:b/>
                <w:bCs/>
              </w:rPr>
              <w:t>Stakeholder Influence</w:t>
            </w:r>
          </w:p>
          <w:p w:rsidR="00FE25AB" w:rsidRDefault="00FE25AB">
            <w:pPr>
              <w:keepNext/>
              <w:keepLines/>
              <w:tabs>
                <w:tab w:val="left" w:pos="1985"/>
              </w:tabs>
              <w:spacing w:before="120"/>
              <w:jc w:val="right"/>
              <w:rPr>
                <w:b/>
                <w:bCs/>
              </w:rPr>
            </w:pPr>
          </w:p>
          <w:p w:rsidR="00FE25AB" w:rsidRDefault="00FE25AB">
            <w:pPr>
              <w:keepNext/>
              <w:keepLines/>
              <w:tabs>
                <w:tab w:val="left" w:pos="1985"/>
              </w:tabs>
              <w:spacing w:before="120"/>
              <w:jc w:val="right"/>
              <w:rPr>
                <w:b/>
                <w:bCs/>
              </w:rPr>
            </w:pPr>
          </w:p>
          <w:p w:rsidR="00FE25AB" w:rsidRDefault="00FE25AB">
            <w:pPr>
              <w:keepNext/>
              <w:keepLines/>
              <w:tabs>
                <w:tab w:val="left" w:pos="1985"/>
              </w:tabs>
              <w:spacing w:before="120"/>
              <w:jc w:val="right"/>
              <w:rPr>
                <w:b/>
                <w:bCs/>
              </w:rPr>
            </w:pPr>
          </w:p>
          <w:p w:rsidR="00FE25AB" w:rsidRDefault="00FE25AB">
            <w:pPr>
              <w:keepNext/>
              <w:keepLines/>
              <w:tabs>
                <w:tab w:val="left" w:pos="1985"/>
              </w:tabs>
              <w:spacing w:before="120"/>
              <w:jc w:val="center"/>
              <w:rPr>
                <w:b/>
                <w:bCs/>
              </w:rPr>
            </w:pPr>
          </w:p>
          <w:p w:rsidR="00FE25AB" w:rsidRDefault="00FE25AB">
            <w:pPr>
              <w:keepNext/>
              <w:keepLines/>
              <w:tabs>
                <w:tab w:val="left" w:pos="1985"/>
              </w:tabs>
              <w:spacing w:before="120"/>
              <w:ind w:left="0"/>
              <w:rPr>
                <w:b/>
                <w:bCs/>
              </w:rPr>
            </w:pPr>
            <w:r>
              <w:rPr>
                <w:b/>
                <w:bCs/>
              </w:rPr>
              <w:t xml:space="preserve">   Low</w:t>
            </w:r>
          </w:p>
          <w:p w:rsidR="00FE25AB" w:rsidRDefault="00FE25AB">
            <w:pPr>
              <w:keepNext/>
              <w:keepLines/>
              <w:tabs>
                <w:tab w:val="left" w:pos="1985"/>
              </w:tabs>
              <w:spacing w:before="120"/>
              <w:jc w:val="right"/>
              <w:rPr>
                <w:b/>
                <w:bCs/>
              </w:rPr>
            </w:pPr>
          </w:p>
        </w:tc>
        <w:tc>
          <w:tcPr>
            <w:tcW w:w="1904" w:type="pct"/>
            <w:vAlign w:val="center"/>
          </w:tcPr>
          <w:p w:rsidR="00FE25AB" w:rsidRDefault="00FE25AB">
            <w:pPr>
              <w:keepNext/>
              <w:keepLines/>
              <w:tabs>
                <w:tab w:val="left" w:pos="1985"/>
              </w:tabs>
              <w:ind w:left="248"/>
              <w:rPr>
                <w:b/>
                <w:bCs/>
              </w:rPr>
            </w:pPr>
          </w:p>
          <w:p w:rsidR="00FE25AB" w:rsidRDefault="00FE25AB">
            <w:pPr>
              <w:keepNext/>
              <w:keepLines/>
              <w:tabs>
                <w:tab w:val="left" w:pos="1985"/>
              </w:tabs>
              <w:ind w:left="248"/>
              <w:rPr>
                <w:b/>
                <w:bCs/>
              </w:rPr>
            </w:pPr>
            <w:r>
              <w:rPr>
                <w:b/>
                <w:bCs/>
              </w:rPr>
              <w:t>To be passively monitored:</w:t>
            </w:r>
          </w:p>
          <w:p w:rsidR="00FE25AB" w:rsidRDefault="00FE25AB">
            <w:pPr>
              <w:keepNext/>
              <w:keepLines/>
              <w:tabs>
                <w:tab w:val="left" w:pos="1985"/>
              </w:tabs>
              <w:jc w:val="center"/>
              <w:rPr>
                <w:b/>
                <w:bCs/>
              </w:rPr>
            </w:pPr>
          </w:p>
          <w:p w:rsidR="00FE25AB" w:rsidRDefault="00FE25AB">
            <w:pPr>
              <w:keepNext/>
              <w:keepLines/>
              <w:tabs>
                <w:tab w:val="left" w:pos="1985"/>
              </w:tabs>
              <w:jc w:val="center"/>
              <w:rPr>
                <w:b/>
                <w:bCs/>
              </w:rPr>
            </w:pPr>
          </w:p>
          <w:p w:rsidR="00FE25AB" w:rsidRDefault="00FE25AB">
            <w:pPr>
              <w:keepNext/>
              <w:keepLines/>
              <w:tabs>
                <w:tab w:val="left" w:pos="1985"/>
              </w:tabs>
              <w:jc w:val="center"/>
              <w:rPr>
                <w:b/>
                <w:bCs/>
              </w:rPr>
            </w:pPr>
          </w:p>
        </w:tc>
        <w:tc>
          <w:tcPr>
            <w:tcW w:w="2359" w:type="pct"/>
          </w:tcPr>
          <w:p w:rsidR="00FE25AB" w:rsidRDefault="00FE25AB">
            <w:pPr>
              <w:keepNext/>
              <w:keepLines/>
              <w:tabs>
                <w:tab w:val="left" w:pos="1985"/>
              </w:tabs>
              <w:ind w:left="0"/>
              <w:rPr>
                <w:b/>
                <w:bCs/>
              </w:rPr>
            </w:pPr>
          </w:p>
          <w:p w:rsidR="00FE25AB" w:rsidRDefault="00FE25AB">
            <w:pPr>
              <w:keepNext/>
              <w:keepLines/>
              <w:tabs>
                <w:tab w:val="left" w:pos="1985"/>
              </w:tabs>
              <w:ind w:left="0"/>
              <w:rPr>
                <w:b/>
                <w:bCs/>
              </w:rPr>
            </w:pPr>
            <w:r>
              <w:rPr>
                <w:b/>
                <w:bCs/>
              </w:rPr>
              <w:t>To be actively engaged and managed:</w:t>
            </w:r>
          </w:p>
          <w:p w:rsidR="00FE25AB" w:rsidRDefault="00FE25AB">
            <w:pPr>
              <w:keepNext/>
              <w:keepLines/>
              <w:tabs>
                <w:tab w:val="left" w:pos="1985"/>
              </w:tabs>
              <w:ind w:left="0"/>
            </w:pPr>
            <w:r>
              <w:t>SELEP/</w:t>
            </w:r>
            <w:proofErr w:type="spellStart"/>
            <w:r>
              <w:t>DfT</w:t>
            </w:r>
            <w:proofErr w:type="spellEnd"/>
          </w:p>
          <w:p w:rsidR="00FE25AB" w:rsidRDefault="00FE25AB">
            <w:pPr>
              <w:keepNext/>
              <w:keepLines/>
              <w:tabs>
                <w:tab w:val="left" w:pos="1985"/>
              </w:tabs>
              <w:ind w:left="0"/>
            </w:pPr>
            <w:r>
              <w:t>Local elected members;</w:t>
            </w:r>
          </w:p>
          <w:p w:rsidR="00FE25AB" w:rsidRDefault="00FE25AB">
            <w:pPr>
              <w:keepNext/>
              <w:keepLines/>
              <w:tabs>
                <w:tab w:val="left" w:pos="1985"/>
              </w:tabs>
              <w:ind w:left="0"/>
            </w:pPr>
            <w:r>
              <w:t>Network Rail/</w:t>
            </w:r>
            <w:proofErr w:type="spellStart"/>
            <w:r>
              <w:t>Southeastern</w:t>
            </w:r>
            <w:proofErr w:type="spellEnd"/>
          </w:p>
          <w:p w:rsidR="00FE25AB" w:rsidRDefault="00FE25AB">
            <w:pPr>
              <w:keepNext/>
              <w:keepLines/>
              <w:tabs>
                <w:tab w:val="left" w:pos="1985"/>
              </w:tabs>
              <w:ind w:left="0"/>
            </w:pPr>
            <w:r>
              <w:t>Bus Operators through established partnerships;</w:t>
            </w:r>
          </w:p>
          <w:p w:rsidR="00FE25AB" w:rsidRDefault="00FE25AB">
            <w:pPr>
              <w:keepNext/>
              <w:keepLines/>
              <w:tabs>
                <w:tab w:val="left" w:pos="1985"/>
              </w:tabs>
              <w:ind w:left="0"/>
            </w:pPr>
            <w:proofErr w:type="spellStart"/>
            <w:r>
              <w:t>Sustrans</w:t>
            </w:r>
            <w:proofErr w:type="spellEnd"/>
          </w:p>
          <w:p w:rsidR="00FE25AB" w:rsidRDefault="00FE25AB">
            <w:pPr>
              <w:keepNext/>
              <w:keepLines/>
              <w:tabs>
                <w:tab w:val="left" w:pos="1985"/>
              </w:tabs>
              <w:ind w:left="0"/>
            </w:pPr>
          </w:p>
        </w:tc>
      </w:tr>
      <w:tr w:rsidR="00FE25AB">
        <w:trPr>
          <w:cantSplit/>
          <w:trHeight w:val="1618"/>
        </w:trPr>
        <w:tc>
          <w:tcPr>
            <w:tcW w:w="738" w:type="pct"/>
            <w:vMerge/>
          </w:tcPr>
          <w:p w:rsidR="00FE25AB" w:rsidRDefault="00FE25AB">
            <w:pPr>
              <w:keepNext/>
              <w:keepLines/>
              <w:tabs>
                <w:tab w:val="left" w:pos="1985"/>
              </w:tabs>
              <w:spacing w:before="120"/>
              <w:rPr>
                <w:i/>
                <w:iCs/>
              </w:rPr>
            </w:pPr>
          </w:p>
        </w:tc>
        <w:tc>
          <w:tcPr>
            <w:tcW w:w="1904" w:type="pct"/>
            <w:vAlign w:val="center"/>
          </w:tcPr>
          <w:p w:rsidR="00FE25AB" w:rsidRDefault="00FE25AB">
            <w:pPr>
              <w:keepNext/>
              <w:keepLines/>
              <w:tabs>
                <w:tab w:val="left" w:pos="1985"/>
              </w:tabs>
              <w:ind w:left="389"/>
              <w:rPr>
                <w:b/>
                <w:bCs/>
              </w:rPr>
            </w:pPr>
          </w:p>
          <w:p w:rsidR="00FE25AB" w:rsidRDefault="00FE25AB">
            <w:pPr>
              <w:keepNext/>
              <w:keepLines/>
              <w:tabs>
                <w:tab w:val="left" w:pos="1985"/>
              </w:tabs>
              <w:ind w:left="389"/>
              <w:rPr>
                <w:b/>
                <w:bCs/>
              </w:rPr>
            </w:pPr>
            <w:r>
              <w:rPr>
                <w:b/>
                <w:bCs/>
              </w:rPr>
              <w:t>To be passively conciliated:</w:t>
            </w:r>
          </w:p>
          <w:p w:rsidR="00FE25AB" w:rsidRDefault="00FE25AB">
            <w:pPr>
              <w:keepNext/>
              <w:keepLines/>
              <w:tabs>
                <w:tab w:val="left" w:pos="1985"/>
              </w:tabs>
              <w:jc w:val="center"/>
            </w:pPr>
          </w:p>
          <w:p w:rsidR="00FE25AB" w:rsidRDefault="00FE25AB">
            <w:pPr>
              <w:keepNext/>
              <w:keepLines/>
              <w:tabs>
                <w:tab w:val="left" w:pos="1985"/>
              </w:tabs>
              <w:ind w:left="0"/>
            </w:pPr>
            <w:r>
              <w:t xml:space="preserve">      Local population</w:t>
            </w:r>
          </w:p>
          <w:p w:rsidR="00FE25AB" w:rsidRDefault="00FE25AB">
            <w:pPr>
              <w:keepNext/>
              <w:keepLines/>
              <w:tabs>
                <w:tab w:val="left" w:pos="1985"/>
              </w:tabs>
              <w:jc w:val="center"/>
              <w:rPr>
                <w:b/>
                <w:bCs/>
              </w:rPr>
            </w:pPr>
          </w:p>
          <w:p w:rsidR="00FE25AB" w:rsidRDefault="00FE25AB">
            <w:pPr>
              <w:keepNext/>
              <w:keepLines/>
              <w:tabs>
                <w:tab w:val="left" w:pos="1985"/>
              </w:tabs>
              <w:jc w:val="center"/>
              <w:rPr>
                <w:b/>
                <w:bCs/>
              </w:rPr>
            </w:pPr>
          </w:p>
          <w:p w:rsidR="00FE25AB" w:rsidRDefault="00FE25AB">
            <w:pPr>
              <w:keepNext/>
              <w:keepLines/>
              <w:tabs>
                <w:tab w:val="left" w:pos="1985"/>
              </w:tabs>
              <w:jc w:val="center"/>
              <w:rPr>
                <w:b/>
                <w:bCs/>
              </w:rPr>
            </w:pPr>
          </w:p>
          <w:p w:rsidR="00FE25AB" w:rsidRDefault="00FE25AB">
            <w:pPr>
              <w:keepNext/>
              <w:keepLines/>
              <w:tabs>
                <w:tab w:val="left" w:pos="1985"/>
              </w:tabs>
              <w:jc w:val="center"/>
              <w:rPr>
                <w:b/>
                <w:bCs/>
              </w:rPr>
            </w:pPr>
          </w:p>
        </w:tc>
        <w:tc>
          <w:tcPr>
            <w:tcW w:w="2359" w:type="pct"/>
            <w:vAlign w:val="center"/>
          </w:tcPr>
          <w:p w:rsidR="00FE25AB" w:rsidRDefault="00FE25AB">
            <w:pPr>
              <w:keepNext/>
              <w:keepLines/>
              <w:tabs>
                <w:tab w:val="left" w:pos="1985"/>
              </w:tabs>
              <w:ind w:left="0"/>
              <w:rPr>
                <w:b/>
                <w:bCs/>
              </w:rPr>
            </w:pPr>
            <w:r>
              <w:rPr>
                <w:b/>
                <w:bCs/>
              </w:rPr>
              <w:t>To be actively informed:</w:t>
            </w:r>
          </w:p>
          <w:p w:rsidR="00FE25AB" w:rsidRDefault="00FE25AB">
            <w:pPr>
              <w:keepNext/>
              <w:keepLines/>
              <w:tabs>
                <w:tab w:val="left" w:pos="1985"/>
              </w:tabs>
              <w:ind w:left="0"/>
            </w:pPr>
            <w:r>
              <w:t>Parish Councils;</w:t>
            </w:r>
          </w:p>
          <w:p w:rsidR="00FE25AB" w:rsidRDefault="00FE25AB">
            <w:pPr>
              <w:keepNext/>
              <w:keepLines/>
              <w:tabs>
                <w:tab w:val="left" w:pos="1985"/>
              </w:tabs>
              <w:ind w:left="0"/>
            </w:pPr>
            <w:proofErr w:type="spellStart"/>
            <w:r>
              <w:t>Strood</w:t>
            </w:r>
            <w:proofErr w:type="spellEnd"/>
            <w:r>
              <w:t xml:space="preserve"> town centre partnership;</w:t>
            </w:r>
          </w:p>
          <w:p w:rsidR="00FE25AB" w:rsidRDefault="00FE25AB">
            <w:pPr>
              <w:keepNext/>
              <w:keepLines/>
              <w:tabs>
                <w:tab w:val="left" w:pos="1985"/>
              </w:tabs>
              <w:ind w:left="0"/>
            </w:pPr>
            <w:r>
              <w:t xml:space="preserve">Local businesses, including those based in </w:t>
            </w:r>
            <w:proofErr w:type="spellStart"/>
            <w:r>
              <w:t>Strood</w:t>
            </w:r>
            <w:proofErr w:type="spellEnd"/>
            <w:r>
              <w:t>;</w:t>
            </w:r>
          </w:p>
          <w:p w:rsidR="00FE25AB" w:rsidRDefault="00FE25AB">
            <w:pPr>
              <w:keepNext/>
              <w:keepLines/>
              <w:tabs>
                <w:tab w:val="left" w:pos="1985"/>
              </w:tabs>
              <w:ind w:left="0"/>
            </w:pPr>
            <w:r>
              <w:t>Physical Disability Board;</w:t>
            </w:r>
          </w:p>
          <w:p w:rsidR="00FE25AB" w:rsidRDefault="00FE25AB">
            <w:pPr>
              <w:keepNext/>
              <w:keepLines/>
              <w:tabs>
                <w:tab w:val="left" w:pos="1985"/>
              </w:tabs>
              <w:ind w:left="0"/>
              <w:rPr>
                <w:b/>
                <w:bCs/>
              </w:rPr>
            </w:pPr>
            <w:r>
              <w:t>Traffic Commissioner</w:t>
            </w:r>
          </w:p>
        </w:tc>
      </w:tr>
      <w:tr w:rsidR="00FE25AB">
        <w:trPr>
          <w:cantSplit/>
          <w:trHeight w:val="766"/>
        </w:trPr>
        <w:tc>
          <w:tcPr>
            <w:tcW w:w="738" w:type="pct"/>
            <w:vMerge/>
          </w:tcPr>
          <w:p w:rsidR="00FE25AB" w:rsidRDefault="00FE25AB">
            <w:pPr>
              <w:keepNext/>
              <w:keepLines/>
              <w:tabs>
                <w:tab w:val="left" w:pos="1985"/>
              </w:tabs>
              <w:spacing w:before="120"/>
              <w:rPr>
                <w:i/>
                <w:iCs/>
              </w:rPr>
            </w:pPr>
          </w:p>
        </w:tc>
        <w:tc>
          <w:tcPr>
            <w:tcW w:w="4262" w:type="pct"/>
            <w:gridSpan w:val="2"/>
          </w:tcPr>
          <w:p w:rsidR="00FE25AB" w:rsidRDefault="00FE25AB">
            <w:pPr>
              <w:keepNext/>
              <w:keepLines/>
              <w:tabs>
                <w:tab w:val="left" w:pos="1985"/>
              </w:tabs>
              <w:spacing w:before="120"/>
              <w:rPr>
                <w:b/>
                <w:bCs/>
              </w:rPr>
            </w:pPr>
            <w:r>
              <w:rPr>
                <w:b/>
                <w:bCs/>
              </w:rPr>
              <w:t xml:space="preserve">                   Stakeholder  Interest                             </w:t>
            </w:r>
          </w:p>
          <w:p w:rsidR="00FE25AB" w:rsidRDefault="00FE25AB">
            <w:pPr>
              <w:keepNext/>
              <w:keepLines/>
              <w:tabs>
                <w:tab w:val="left" w:pos="1985"/>
              </w:tabs>
              <w:spacing w:before="120"/>
              <w:ind w:left="0"/>
              <w:rPr>
                <w:b/>
                <w:bCs/>
              </w:rPr>
            </w:pPr>
            <w:r>
              <w:rPr>
                <w:b/>
                <w:bCs/>
              </w:rPr>
              <w:t xml:space="preserve">   Low                                                                           High</w:t>
            </w:r>
            <w:r w:rsidR="004D0481">
              <w:rPr>
                <w:noProof/>
                <w:lang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71" type="#_x0000_t34" style="position:absolute;margin-left:40.2pt;margin-top:4.6pt;width:207.2pt;height:.05pt;z-index:251628032;visibility:visible;mso-wrap-distance-top:-8e-5mm;mso-wrap-distance-bottom:-8e-5mm;mso-position-horizontal-relative:text;mso-position-vertical-relative:text" adj=",-166536000,-27401">
                  <v:stroke endarrow="block"/>
                </v:shape>
              </w:pict>
            </w:r>
          </w:p>
        </w:tc>
      </w:tr>
    </w:tbl>
    <w:p w:rsidR="00FE25AB" w:rsidRDefault="00FE25AB"/>
    <w:p w:rsidR="00FE25AB" w:rsidRDefault="00FE25AB">
      <w:r>
        <w:t xml:space="preserve">Key political stakeholders are fully aware of the scope and nature of the scheme being developed and are fully supportive of investment in </w:t>
      </w:r>
      <w:proofErr w:type="spellStart"/>
      <w:r>
        <w:t>Strood</w:t>
      </w:r>
      <w:proofErr w:type="spellEnd"/>
      <w:r>
        <w:t xml:space="preserve"> to improve the highway conditions, encourage sustainable transport and enhance the urban realm.</w:t>
      </w:r>
    </w:p>
    <w:p w:rsidR="00FE25AB" w:rsidRDefault="00FE25AB"/>
    <w:p w:rsidR="00FE25AB" w:rsidRDefault="00FE25AB">
      <w:r>
        <w:t xml:space="preserve">Formal consultation will be commenced as soon as funding is confirmed and secured. The Portfolio Holder for Frontline Services will take an active part in this work. All </w:t>
      </w:r>
      <w:r>
        <w:lastRenderedPageBreak/>
        <w:t xml:space="preserve">consultation activities will be managed through Medway Council and will be closely coordinated with the project delivery programme. </w:t>
      </w:r>
    </w:p>
    <w:p w:rsidR="00FE25AB" w:rsidRDefault="00FE25AB">
      <w:pPr>
        <w:pStyle w:val="SectionHeading"/>
      </w:pPr>
    </w:p>
    <w:p w:rsidR="00FE25AB" w:rsidRDefault="00FE25AB">
      <w:pPr>
        <w:pStyle w:val="SectionHeading"/>
        <w:rPr>
          <w:sz w:val="22"/>
          <w:szCs w:val="22"/>
        </w:rPr>
      </w:pPr>
      <w:r>
        <w:rPr>
          <w:sz w:val="22"/>
          <w:szCs w:val="22"/>
        </w:rPr>
        <w:t>6.3</w:t>
      </w:r>
      <w:r>
        <w:rPr>
          <w:sz w:val="22"/>
          <w:szCs w:val="22"/>
        </w:rPr>
        <w:tab/>
        <w:t>Monitoring &amp; Evaluation</w:t>
      </w:r>
    </w:p>
    <w:p w:rsidR="00FE25AB" w:rsidRDefault="00FE25AB">
      <w:pPr>
        <w:pStyle w:val="SectionHeading"/>
      </w:pPr>
    </w:p>
    <w:p w:rsidR="00FE25AB" w:rsidRDefault="00FE25AB">
      <w:r>
        <w:t xml:space="preserve">The Council are seeking agreement to the following </w:t>
      </w:r>
      <w:r>
        <w:rPr>
          <w:b/>
          <w:bCs/>
        </w:rPr>
        <w:t>Key Performance Indicators</w:t>
      </w:r>
      <w:r>
        <w:t xml:space="preserve"> to monitor the delivery and success of this project:</w:t>
      </w:r>
    </w:p>
    <w:p w:rsidR="00FE25AB" w:rsidRDefault="00FE25AB"/>
    <w:p w:rsidR="00FE25AB" w:rsidRDefault="00FE25AB">
      <w:pPr>
        <w:rPr>
          <w:b/>
          <w:bCs/>
        </w:rPr>
      </w:pPr>
      <w:r>
        <w:rPr>
          <w:b/>
          <w:bCs/>
        </w:rPr>
        <w:t>Table 6c – Key Performance Indicators</w:t>
      </w:r>
    </w:p>
    <w:p w:rsidR="00FE25AB" w:rsidRDefault="00FE25AB"/>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0"/>
        <w:gridCol w:w="7031"/>
        <w:gridCol w:w="41"/>
      </w:tblGrid>
      <w:tr w:rsidR="00FE25AB">
        <w:trPr>
          <w:gridAfter w:val="1"/>
          <w:wAfter w:w="41" w:type="dxa"/>
          <w:cantSplit/>
          <w:trHeight w:val="305"/>
          <w:jc w:val="right"/>
        </w:trPr>
        <w:tc>
          <w:tcPr>
            <w:tcW w:w="8691" w:type="dxa"/>
            <w:gridSpan w:val="2"/>
            <w:shd w:val="clear" w:color="auto" w:fill="F2F2F2"/>
          </w:tcPr>
          <w:p w:rsidR="00FE25AB" w:rsidRDefault="00FE25AB">
            <w:pPr>
              <w:ind w:left="0"/>
            </w:pPr>
            <w:r>
              <w:t>1. Core Metrics</w:t>
            </w:r>
          </w:p>
        </w:tc>
      </w:tr>
      <w:tr w:rsidR="00FE25AB">
        <w:trPr>
          <w:gridAfter w:val="1"/>
          <w:wAfter w:w="41" w:type="dxa"/>
          <w:cantSplit/>
          <w:jc w:val="right"/>
        </w:trPr>
        <w:tc>
          <w:tcPr>
            <w:tcW w:w="1660" w:type="dxa"/>
            <w:vMerge w:val="restart"/>
          </w:tcPr>
          <w:p w:rsidR="00FE25AB" w:rsidRDefault="00FE25AB">
            <w:pPr>
              <w:ind w:left="0"/>
            </w:pPr>
            <w:r>
              <w:t>Inputs:</w:t>
            </w:r>
          </w:p>
        </w:tc>
        <w:tc>
          <w:tcPr>
            <w:tcW w:w="7031" w:type="dxa"/>
          </w:tcPr>
          <w:p w:rsidR="00FE25AB" w:rsidRDefault="00FE25AB">
            <w:pPr>
              <w:ind w:left="0"/>
            </w:pPr>
            <w:r>
              <w:t>Expenditure</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pPr>
            <w:r>
              <w:t>Funding Breakdown</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pPr>
            <w:r>
              <w:t>In-Kind resources provided</w:t>
            </w:r>
          </w:p>
        </w:tc>
      </w:tr>
      <w:tr w:rsidR="00FE25AB">
        <w:trPr>
          <w:gridAfter w:val="1"/>
          <w:wAfter w:w="41" w:type="dxa"/>
          <w:cantSplit/>
          <w:jc w:val="right"/>
        </w:trPr>
        <w:tc>
          <w:tcPr>
            <w:tcW w:w="1660" w:type="dxa"/>
            <w:vMerge w:val="restart"/>
          </w:tcPr>
          <w:p w:rsidR="00FE25AB" w:rsidRDefault="00FE25AB">
            <w:pPr>
              <w:ind w:left="0"/>
            </w:pPr>
            <w:r>
              <w:t>Outcomes:</w:t>
            </w:r>
          </w:p>
        </w:tc>
        <w:tc>
          <w:tcPr>
            <w:tcW w:w="7031" w:type="dxa"/>
          </w:tcPr>
          <w:p w:rsidR="00FE25AB" w:rsidRDefault="00FE25AB">
            <w:pPr>
              <w:ind w:left="0"/>
              <w:rPr>
                <w:rFonts w:ascii="Arial Unicode MS" w:eastAsia="Arial Unicode MS"/>
              </w:rPr>
            </w:pPr>
            <w:r>
              <w:t>Jobs connected to the intervention</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Commercial floor space constructed</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Housing unit starts</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Housing units completed</w:t>
            </w:r>
          </w:p>
        </w:tc>
      </w:tr>
      <w:tr w:rsidR="00FE25AB">
        <w:trPr>
          <w:gridAfter w:val="1"/>
          <w:wAfter w:w="41" w:type="dxa"/>
          <w:cantSplit/>
          <w:trHeight w:val="278"/>
          <w:jc w:val="right"/>
        </w:trPr>
        <w:tc>
          <w:tcPr>
            <w:tcW w:w="8691" w:type="dxa"/>
            <w:gridSpan w:val="2"/>
            <w:shd w:val="clear" w:color="auto" w:fill="F2F2F2"/>
          </w:tcPr>
          <w:p w:rsidR="00FE25AB" w:rsidRDefault="00FE25AB">
            <w:pPr>
              <w:ind w:left="0"/>
            </w:pPr>
            <w:r>
              <w:t>2. Project Specific Outputs and Outcomes</w:t>
            </w:r>
          </w:p>
        </w:tc>
      </w:tr>
      <w:tr w:rsidR="00FE25AB">
        <w:trPr>
          <w:gridAfter w:val="1"/>
          <w:wAfter w:w="41" w:type="dxa"/>
          <w:cantSplit/>
          <w:jc w:val="right"/>
        </w:trPr>
        <w:tc>
          <w:tcPr>
            <w:tcW w:w="1660" w:type="dxa"/>
            <w:vMerge w:val="restart"/>
          </w:tcPr>
          <w:p w:rsidR="00FE25AB" w:rsidRDefault="00FE25AB">
            <w:pPr>
              <w:ind w:left="0"/>
            </w:pPr>
            <w:r>
              <w:t>Outputs:</w:t>
            </w:r>
          </w:p>
        </w:tc>
        <w:tc>
          <w:tcPr>
            <w:tcW w:w="7031" w:type="dxa"/>
          </w:tcPr>
          <w:p w:rsidR="00FE25AB" w:rsidRDefault="00FE25AB">
            <w:pPr>
              <w:ind w:left="0"/>
              <w:rPr>
                <w:rFonts w:ascii="Arial Unicode MS" w:eastAsia="Arial Unicode MS"/>
              </w:rPr>
            </w:pPr>
            <w:r>
              <w:t>Total length of resurfaced roads</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Total length of newly built roads</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Total length of new cycle ways</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Type of infrastructure</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Type of service improvement</w:t>
            </w:r>
          </w:p>
        </w:tc>
      </w:tr>
      <w:tr w:rsidR="00FE25AB">
        <w:trPr>
          <w:gridAfter w:val="1"/>
          <w:wAfter w:w="41" w:type="dxa"/>
          <w:cantSplit/>
          <w:jc w:val="right"/>
        </w:trPr>
        <w:tc>
          <w:tcPr>
            <w:tcW w:w="1660" w:type="dxa"/>
            <w:vMerge w:val="restart"/>
          </w:tcPr>
          <w:p w:rsidR="00FE25AB" w:rsidRDefault="00FE25AB">
            <w:pPr>
              <w:ind w:left="0"/>
            </w:pPr>
            <w:r>
              <w:t>Outcomes:</w:t>
            </w:r>
          </w:p>
        </w:tc>
        <w:tc>
          <w:tcPr>
            <w:tcW w:w="7031" w:type="dxa"/>
          </w:tcPr>
          <w:p w:rsidR="00FE25AB" w:rsidRDefault="00FE25AB">
            <w:pPr>
              <w:ind w:left="0"/>
              <w:rPr>
                <w:rFonts w:ascii="Arial Unicode MS" w:eastAsia="Arial Unicode MS"/>
              </w:rPr>
            </w:pPr>
            <w:r>
              <w:t>Follow on investment at site</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Commercial floor space occupied</w:t>
            </w:r>
          </w:p>
        </w:tc>
      </w:tr>
      <w:tr w:rsidR="00FE25AB">
        <w:trPr>
          <w:gridAfter w:val="1"/>
          <w:wAfter w:w="41" w:type="dxa"/>
          <w:cantSplit/>
          <w:jc w:val="right"/>
        </w:trPr>
        <w:tc>
          <w:tcPr>
            <w:tcW w:w="1660" w:type="dxa"/>
            <w:vMerge/>
          </w:tcPr>
          <w:p w:rsidR="00FE25AB" w:rsidRDefault="00FE25AB"/>
        </w:tc>
        <w:tc>
          <w:tcPr>
            <w:tcW w:w="7031" w:type="dxa"/>
          </w:tcPr>
          <w:p w:rsidR="00FE25AB" w:rsidRDefault="00FE25AB">
            <w:pPr>
              <w:ind w:left="0"/>
              <w:rPr>
                <w:rFonts w:ascii="Arial Unicode MS" w:eastAsia="Arial Unicode MS"/>
              </w:rPr>
            </w:pPr>
            <w:r>
              <w:t xml:space="preserve">Commercial rental values </w:t>
            </w:r>
          </w:p>
        </w:tc>
      </w:tr>
      <w:tr w:rsidR="00FE25AB">
        <w:trPr>
          <w:gridAfter w:val="1"/>
          <w:wAfter w:w="41" w:type="dxa"/>
          <w:cantSplit/>
          <w:trHeight w:val="285"/>
          <w:jc w:val="right"/>
        </w:trPr>
        <w:tc>
          <w:tcPr>
            <w:tcW w:w="8691" w:type="dxa"/>
            <w:gridSpan w:val="2"/>
            <w:shd w:val="clear" w:color="auto" w:fill="F2F2F2"/>
          </w:tcPr>
          <w:p w:rsidR="00FE25AB" w:rsidRDefault="00FE25AB">
            <w:pPr>
              <w:ind w:left="0"/>
            </w:pPr>
            <w:r>
              <w:t>3. Additional Monitoring</w:t>
            </w:r>
          </w:p>
        </w:tc>
      </w:tr>
      <w:tr w:rsidR="00FE25AB">
        <w:trPr>
          <w:jc w:val="right"/>
        </w:trPr>
        <w:tc>
          <w:tcPr>
            <w:tcW w:w="8732" w:type="dxa"/>
            <w:gridSpan w:val="3"/>
          </w:tcPr>
          <w:p w:rsidR="00FE25AB" w:rsidRDefault="00FE25AB">
            <w:pPr>
              <w:ind w:left="0"/>
              <w:rPr>
                <w:rFonts w:ascii="Arial Unicode MS" w:eastAsia="Arial Unicode MS"/>
              </w:rPr>
            </w:pPr>
            <w:r>
              <w:t>Average daily traffic and by peak/non peak periods</w:t>
            </w:r>
          </w:p>
        </w:tc>
      </w:tr>
      <w:tr w:rsidR="00FE25AB">
        <w:trPr>
          <w:jc w:val="right"/>
        </w:trPr>
        <w:tc>
          <w:tcPr>
            <w:tcW w:w="8732" w:type="dxa"/>
            <w:gridSpan w:val="3"/>
          </w:tcPr>
          <w:p w:rsidR="00FE25AB" w:rsidRDefault="00FE25AB">
            <w:pPr>
              <w:ind w:left="0"/>
              <w:rPr>
                <w:rFonts w:ascii="Arial Unicode MS" w:eastAsia="Arial Unicode MS"/>
              </w:rPr>
            </w:pPr>
            <w:r>
              <w:t>Average AM and PM peak journey time per mile on key routes (journey time measurement)</w:t>
            </w:r>
          </w:p>
        </w:tc>
      </w:tr>
      <w:tr w:rsidR="00FE25AB">
        <w:trPr>
          <w:jc w:val="right"/>
        </w:trPr>
        <w:tc>
          <w:tcPr>
            <w:tcW w:w="8732" w:type="dxa"/>
            <w:gridSpan w:val="3"/>
          </w:tcPr>
          <w:p w:rsidR="00FE25AB" w:rsidRDefault="00FE25AB">
            <w:pPr>
              <w:ind w:left="0"/>
              <w:rPr>
                <w:rFonts w:ascii="Arial Unicode MS" w:eastAsia="Arial Unicode MS"/>
              </w:rPr>
            </w:pPr>
            <w:r>
              <w:t>Average AM and PM peak journey time on key routes (journey time measurement)</w:t>
            </w:r>
          </w:p>
        </w:tc>
      </w:tr>
      <w:tr w:rsidR="00FE25AB">
        <w:trPr>
          <w:jc w:val="right"/>
        </w:trPr>
        <w:tc>
          <w:tcPr>
            <w:tcW w:w="8732" w:type="dxa"/>
            <w:gridSpan w:val="3"/>
          </w:tcPr>
          <w:p w:rsidR="00FE25AB" w:rsidRDefault="00FE25AB">
            <w:pPr>
              <w:ind w:left="0"/>
              <w:rPr>
                <w:rFonts w:ascii="Arial Unicode MS" w:eastAsia="Arial Unicode MS"/>
              </w:rPr>
            </w:pPr>
            <w:r>
              <w:t>Day-to-day travel time variability</w:t>
            </w:r>
          </w:p>
        </w:tc>
      </w:tr>
      <w:tr w:rsidR="00FE25AB">
        <w:trPr>
          <w:jc w:val="right"/>
        </w:trPr>
        <w:tc>
          <w:tcPr>
            <w:tcW w:w="8732" w:type="dxa"/>
            <w:gridSpan w:val="3"/>
          </w:tcPr>
          <w:p w:rsidR="00FE25AB" w:rsidRDefault="00FE25AB">
            <w:pPr>
              <w:ind w:left="0"/>
              <w:rPr>
                <w:rFonts w:ascii="Arial Unicode MS" w:eastAsia="Arial Unicode MS"/>
              </w:rPr>
            </w:pPr>
            <w:r>
              <w:t>Average annual CO2 emissions</w:t>
            </w:r>
          </w:p>
        </w:tc>
      </w:tr>
    </w:tbl>
    <w:p w:rsidR="00FE25AB" w:rsidRDefault="00FE25AB">
      <w:pPr>
        <w:rPr>
          <w:w w:val="111"/>
        </w:rPr>
      </w:pPr>
    </w:p>
    <w:p w:rsidR="00FE25AB" w:rsidRDefault="00FE25AB">
      <w:pPr>
        <w:rPr>
          <w:w w:val="111"/>
        </w:rPr>
      </w:pPr>
      <w:r>
        <w:t>As set out in Section 2.0, the</w:t>
      </w:r>
      <w:r>
        <w:rPr>
          <w:spacing w:val="50"/>
        </w:rPr>
        <w:t xml:space="preserve"> </w:t>
      </w:r>
      <w:r>
        <w:t xml:space="preserve">transport </w:t>
      </w:r>
      <w:r>
        <w:rPr>
          <w:spacing w:val="14"/>
        </w:rPr>
        <w:t>improvements</w:t>
      </w:r>
      <w:r>
        <w:rPr>
          <w:spacing w:val="4"/>
          <w:w w:val="107"/>
        </w:rPr>
        <w:t xml:space="preserve"> </w:t>
      </w:r>
      <w:r>
        <w:rPr>
          <w:w w:val="107"/>
        </w:rPr>
        <w:t>associated</w:t>
      </w:r>
      <w:r>
        <w:rPr>
          <w:spacing w:val="-3"/>
          <w:w w:val="107"/>
        </w:rPr>
        <w:t xml:space="preserve"> </w:t>
      </w:r>
      <w:r>
        <w:t>with</w:t>
      </w:r>
      <w:r>
        <w:rPr>
          <w:spacing w:val="22"/>
        </w:rPr>
        <w:t xml:space="preserve"> </w:t>
      </w:r>
      <w:r>
        <w:t>the</w:t>
      </w:r>
      <w:r>
        <w:rPr>
          <w:spacing w:val="28"/>
        </w:rPr>
        <w:t xml:space="preserve"> </w:t>
      </w:r>
      <w:r>
        <w:rPr>
          <w:w w:val="108"/>
        </w:rPr>
        <w:t>interventions</w:t>
      </w:r>
      <w:r>
        <w:rPr>
          <w:spacing w:val="-3"/>
          <w:w w:val="108"/>
        </w:rPr>
        <w:t xml:space="preserve"> </w:t>
      </w:r>
      <w:r>
        <w:t>would</w:t>
      </w:r>
      <w:r>
        <w:rPr>
          <w:spacing w:val="45"/>
        </w:rPr>
        <w:t xml:space="preserve"> </w:t>
      </w:r>
      <w:r>
        <w:t>result</w:t>
      </w:r>
      <w:r>
        <w:rPr>
          <w:spacing w:val="46"/>
        </w:rPr>
        <w:t xml:space="preserve"> </w:t>
      </w:r>
      <w:r>
        <w:t>in</w:t>
      </w:r>
      <w:r>
        <w:rPr>
          <w:spacing w:val="16"/>
        </w:rPr>
        <w:t xml:space="preserve"> </w:t>
      </w:r>
      <w:r>
        <w:t>a</w:t>
      </w:r>
      <w:r>
        <w:rPr>
          <w:spacing w:val="18"/>
        </w:rPr>
        <w:t xml:space="preserve"> </w:t>
      </w:r>
      <w:r>
        <w:rPr>
          <w:w w:val="111"/>
        </w:rPr>
        <w:t xml:space="preserve">range </w:t>
      </w:r>
      <w:r>
        <w:t>of</w:t>
      </w:r>
      <w:r>
        <w:rPr>
          <w:spacing w:val="37"/>
        </w:rPr>
        <w:t xml:space="preserve"> </w:t>
      </w:r>
      <w:r>
        <w:rPr>
          <w:w w:val="110"/>
        </w:rPr>
        <w:t>measurable</w:t>
      </w:r>
      <w:r>
        <w:rPr>
          <w:spacing w:val="-2"/>
          <w:w w:val="110"/>
        </w:rPr>
        <w:t xml:space="preserve"> </w:t>
      </w:r>
      <w:r>
        <w:t xml:space="preserve">impacts </w:t>
      </w:r>
      <w:r>
        <w:rPr>
          <w:spacing w:val="3"/>
        </w:rPr>
        <w:t>on</w:t>
      </w:r>
      <w:r>
        <w:rPr>
          <w:spacing w:val="24"/>
        </w:rPr>
        <w:t xml:space="preserve"> </w:t>
      </w:r>
      <w:r>
        <w:t>traffic</w:t>
      </w:r>
      <w:r>
        <w:rPr>
          <w:spacing w:val="43"/>
        </w:rPr>
        <w:t xml:space="preserve"> </w:t>
      </w:r>
      <w:r>
        <w:t>and</w:t>
      </w:r>
      <w:r>
        <w:rPr>
          <w:spacing w:val="31"/>
        </w:rPr>
        <w:t xml:space="preserve"> </w:t>
      </w:r>
      <w:r>
        <w:t>travel</w:t>
      </w:r>
      <w:r>
        <w:rPr>
          <w:spacing w:val="30"/>
        </w:rPr>
        <w:t xml:space="preserve"> </w:t>
      </w:r>
      <w:r>
        <w:rPr>
          <w:w w:val="108"/>
        </w:rPr>
        <w:t>conditions</w:t>
      </w:r>
      <w:r>
        <w:rPr>
          <w:spacing w:val="1"/>
          <w:w w:val="108"/>
        </w:rPr>
        <w:t xml:space="preserve"> </w:t>
      </w:r>
      <w:r>
        <w:t>within</w:t>
      </w:r>
      <w:r>
        <w:rPr>
          <w:spacing w:val="39"/>
        </w:rPr>
        <w:t xml:space="preserve"> </w:t>
      </w:r>
      <w:r>
        <w:t>the</w:t>
      </w:r>
      <w:r>
        <w:rPr>
          <w:spacing w:val="32"/>
        </w:rPr>
        <w:t xml:space="preserve"> </w:t>
      </w:r>
      <w:r>
        <w:t>town</w:t>
      </w:r>
      <w:r>
        <w:rPr>
          <w:spacing w:val="27"/>
        </w:rPr>
        <w:t xml:space="preserve"> </w:t>
      </w:r>
      <w:r>
        <w:t>centre.</w:t>
      </w:r>
      <w:r>
        <w:rPr>
          <w:spacing w:val="47"/>
        </w:rPr>
        <w:t xml:space="preserve"> </w:t>
      </w:r>
      <w:r>
        <w:rPr>
          <w:w w:val="109"/>
        </w:rPr>
        <w:t xml:space="preserve">The </w:t>
      </w:r>
      <w:r>
        <w:rPr>
          <w:w w:val="111"/>
        </w:rPr>
        <w:t>primary</w:t>
      </w:r>
      <w:r>
        <w:rPr>
          <w:spacing w:val="5"/>
          <w:w w:val="111"/>
        </w:rPr>
        <w:t xml:space="preserve"> </w:t>
      </w:r>
      <w:r>
        <w:rPr>
          <w:w w:val="111"/>
        </w:rPr>
        <w:t>objectives</w:t>
      </w:r>
      <w:r>
        <w:rPr>
          <w:spacing w:val="-25"/>
          <w:w w:val="111"/>
        </w:rPr>
        <w:t xml:space="preserve"> </w:t>
      </w:r>
      <w:r>
        <w:t>of</w:t>
      </w:r>
      <w:r>
        <w:rPr>
          <w:spacing w:val="22"/>
        </w:rPr>
        <w:t xml:space="preserve"> </w:t>
      </w:r>
      <w:r>
        <w:t>the</w:t>
      </w:r>
      <w:r>
        <w:rPr>
          <w:spacing w:val="27"/>
        </w:rPr>
        <w:t xml:space="preserve"> </w:t>
      </w:r>
      <w:r>
        <w:t xml:space="preserve">Scheme </w:t>
      </w:r>
      <w:r>
        <w:rPr>
          <w:spacing w:val="7"/>
        </w:rPr>
        <w:t>relate</w:t>
      </w:r>
      <w:r>
        <w:rPr>
          <w:spacing w:val="41"/>
        </w:rPr>
        <w:t xml:space="preserve"> </w:t>
      </w:r>
      <w:r>
        <w:t>to</w:t>
      </w:r>
      <w:r>
        <w:rPr>
          <w:spacing w:val="17"/>
        </w:rPr>
        <w:t xml:space="preserve"> </w:t>
      </w:r>
      <w:r>
        <w:t>the</w:t>
      </w:r>
      <w:r>
        <w:rPr>
          <w:spacing w:val="28"/>
        </w:rPr>
        <w:t xml:space="preserve"> </w:t>
      </w:r>
      <w:r>
        <w:rPr>
          <w:w w:val="107"/>
        </w:rPr>
        <w:t>improvement</w:t>
      </w:r>
      <w:r>
        <w:rPr>
          <w:spacing w:val="14"/>
          <w:w w:val="107"/>
        </w:rPr>
        <w:t xml:space="preserve"> </w:t>
      </w:r>
      <w:r>
        <w:t>in</w:t>
      </w:r>
      <w:r>
        <w:rPr>
          <w:spacing w:val="20"/>
        </w:rPr>
        <w:t xml:space="preserve"> </w:t>
      </w:r>
      <w:r>
        <w:t xml:space="preserve">transport </w:t>
      </w:r>
      <w:r>
        <w:rPr>
          <w:spacing w:val="6"/>
        </w:rPr>
        <w:t>conditions</w:t>
      </w:r>
      <w:r>
        <w:rPr>
          <w:w w:val="108"/>
        </w:rPr>
        <w:t xml:space="preserve"> </w:t>
      </w:r>
      <w:r>
        <w:t xml:space="preserve">which </w:t>
      </w:r>
      <w:r>
        <w:rPr>
          <w:spacing w:val="15"/>
        </w:rPr>
        <w:t>support</w:t>
      </w:r>
      <w:r>
        <w:t xml:space="preserve"> </w:t>
      </w:r>
      <w:r>
        <w:rPr>
          <w:spacing w:val="5"/>
        </w:rPr>
        <w:t>travel</w:t>
      </w:r>
      <w:r>
        <w:rPr>
          <w:spacing w:val="22"/>
        </w:rPr>
        <w:t xml:space="preserve"> </w:t>
      </w:r>
      <w:r>
        <w:t>by</w:t>
      </w:r>
      <w:r>
        <w:rPr>
          <w:spacing w:val="25"/>
        </w:rPr>
        <w:t xml:space="preserve"> </w:t>
      </w:r>
      <w:r>
        <w:t>all</w:t>
      </w:r>
      <w:r>
        <w:rPr>
          <w:spacing w:val="19"/>
        </w:rPr>
        <w:t xml:space="preserve"> </w:t>
      </w:r>
      <w:r>
        <w:t>modes</w:t>
      </w:r>
      <w:r>
        <w:rPr>
          <w:spacing w:val="55"/>
        </w:rPr>
        <w:t xml:space="preserve"> </w:t>
      </w:r>
      <w:r>
        <w:t>and</w:t>
      </w:r>
      <w:r>
        <w:rPr>
          <w:spacing w:val="36"/>
        </w:rPr>
        <w:t xml:space="preserve"> </w:t>
      </w:r>
      <w:r>
        <w:rPr>
          <w:w w:val="107"/>
        </w:rPr>
        <w:t>contribute</w:t>
      </w:r>
      <w:r>
        <w:rPr>
          <w:spacing w:val="-6"/>
          <w:w w:val="107"/>
        </w:rPr>
        <w:t xml:space="preserve"> </w:t>
      </w:r>
      <w:r>
        <w:t>to</w:t>
      </w:r>
      <w:r>
        <w:rPr>
          <w:spacing w:val="22"/>
        </w:rPr>
        <w:t xml:space="preserve"> </w:t>
      </w:r>
      <w:r>
        <w:t>the</w:t>
      </w:r>
      <w:r>
        <w:rPr>
          <w:spacing w:val="23"/>
        </w:rPr>
        <w:t xml:space="preserve"> </w:t>
      </w:r>
      <w:r>
        <w:rPr>
          <w:w w:val="109"/>
        </w:rPr>
        <w:t>regeneration</w:t>
      </w:r>
      <w:r>
        <w:rPr>
          <w:spacing w:val="-5"/>
          <w:w w:val="109"/>
        </w:rPr>
        <w:t xml:space="preserve"> </w:t>
      </w:r>
      <w:r>
        <w:t>of</w:t>
      </w:r>
      <w:r>
        <w:rPr>
          <w:spacing w:val="17"/>
        </w:rPr>
        <w:t xml:space="preserve"> </w:t>
      </w:r>
      <w:r>
        <w:t>the</w:t>
      </w:r>
      <w:r>
        <w:rPr>
          <w:spacing w:val="23"/>
        </w:rPr>
        <w:t xml:space="preserve"> </w:t>
      </w:r>
      <w:r>
        <w:rPr>
          <w:w w:val="110"/>
        </w:rPr>
        <w:t>urban environment</w:t>
      </w:r>
      <w:r>
        <w:rPr>
          <w:spacing w:val="3"/>
          <w:w w:val="110"/>
        </w:rPr>
        <w:t xml:space="preserve"> </w:t>
      </w:r>
      <w:r>
        <w:t>and</w:t>
      </w:r>
      <w:r>
        <w:rPr>
          <w:spacing w:val="36"/>
        </w:rPr>
        <w:t xml:space="preserve"> </w:t>
      </w:r>
      <w:r>
        <w:rPr>
          <w:w w:val="109"/>
        </w:rPr>
        <w:t>economic p</w:t>
      </w:r>
      <w:r>
        <w:t>otential</w:t>
      </w:r>
      <w:r>
        <w:rPr>
          <w:spacing w:val="39"/>
        </w:rPr>
        <w:t xml:space="preserve"> </w:t>
      </w:r>
      <w:r>
        <w:rPr>
          <w:w w:val="111"/>
        </w:rPr>
        <w:t xml:space="preserve">of </w:t>
      </w:r>
      <w:proofErr w:type="spellStart"/>
      <w:r>
        <w:rPr>
          <w:w w:val="111"/>
        </w:rPr>
        <w:t>Strood</w:t>
      </w:r>
      <w:proofErr w:type="spellEnd"/>
      <w:r>
        <w:rPr>
          <w:w w:val="111"/>
        </w:rPr>
        <w:t>.</w:t>
      </w:r>
    </w:p>
    <w:p w:rsidR="00FE25AB" w:rsidRDefault="00FE25AB">
      <w:pPr>
        <w:rPr>
          <w:w w:val="111"/>
        </w:rPr>
      </w:pPr>
    </w:p>
    <w:p w:rsidR="00FE25AB" w:rsidRDefault="00FE25AB">
      <w:pPr>
        <w:rPr>
          <w:w w:val="111"/>
        </w:rPr>
      </w:pPr>
      <w:r>
        <w:rPr>
          <w:w w:val="111"/>
        </w:rPr>
        <w:t>Data will be collected during 2015 to provide “before” data regarding baseline conditions. This data will be recollected after substantial scheme completion to provide measurable information regarding the outcomes and success of the scheme. Data to be collected will include, but not restricted to:</w:t>
      </w:r>
    </w:p>
    <w:p w:rsidR="00FE25AB" w:rsidRDefault="00FE25AB">
      <w:pPr>
        <w:rPr>
          <w:color w:val="E36C0A"/>
          <w:w w:val="111"/>
        </w:rPr>
      </w:pPr>
    </w:p>
    <w:p w:rsidR="00FE25AB" w:rsidRDefault="00FE25AB">
      <w:pPr>
        <w:rPr>
          <w:b/>
          <w:bCs/>
          <w:w w:val="111"/>
        </w:rPr>
      </w:pPr>
      <w:r>
        <w:rPr>
          <w:b/>
          <w:bCs/>
          <w:color w:val="E36C0A"/>
          <w:w w:val="111"/>
        </w:rPr>
        <w:br w:type="page"/>
      </w:r>
      <w:r>
        <w:rPr>
          <w:b/>
          <w:bCs/>
          <w:w w:val="111"/>
        </w:rPr>
        <w:lastRenderedPageBreak/>
        <w:t>Table 6d - Data Collection</w:t>
      </w:r>
    </w:p>
    <w:p w:rsidR="00FE25AB" w:rsidRDefault="00FE25AB">
      <w:pPr>
        <w:rPr>
          <w:w w:val="111"/>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2672"/>
        <w:gridCol w:w="4253"/>
      </w:tblGrid>
      <w:tr w:rsidR="00FE25AB">
        <w:trPr>
          <w:trHeight w:val="563"/>
        </w:trPr>
        <w:tc>
          <w:tcPr>
            <w:tcW w:w="1722" w:type="dxa"/>
            <w:shd w:val="clear" w:color="auto" w:fill="D9D9D9"/>
            <w:vAlign w:val="center"/>
          </w:tcPr>
          <w:p w:rsidR="00FE25AB" w:rsidRDefault="00FE25AB">
            <w:pPr>
              <w:ind w:left="0"/>
              <w:rPr>
                <w:b/>
                <w:bCs/>
                <w:w w:val="111"/>
              </w:rPr>
            </w:pPr>
            <w:r>
              <w:rPr>
                <w:b/>
                <w:bCs/>
                <w:w w:val="111"/>
              </w:rPr>
              <w:t>Objective</w:t>
            </w:r>
          </w:p>
        </w:tc>
        <w:tc>
          <w:tcPr>
            <w:tcW w:w="2672" w:type="dxa"/>
            <w:shd w:val="clear" w:color="auto" w:fill="D9D9D9"/>
            <w:vAlign w:val="center"/>
          </w:tcPr>
          <w:p w:rsidR="00FE25AB" w:rsidRDefault="00FE25AB">
            <w:pPr>
              <w:ind w:left="0"/>
              <w:rPr>
                <w:b/>
                <w:bCs/>
                <w:w w:val="111"/>
              </w:rPr>
            </w:pPr>
            <w:r>
              <w:rPr>
                <w:b/>
                <w:bCs/>
                <w:w w:val="111"/>
              </w:rPr>
              <w:t>How will success be measured?</w:t>
            </w:r>
          </w:p>
        </w:tc>
        <w:tc>
          <w:tcPr>
            <w:tcW w:w="4253" w:type="dxa"/>
            <w:shd w:val="clear" w:color="auto" w:fill="D9D9D9"/>
            <w:vAlign w:val="center"/>
          </w:tcPr>
          <w:p w:rsidR="00FE25AB" w:rsidRDefault="00FE25AB">
            <w:pPr>
              <w:ind w:left="0"/>
              <w:rPr>
                <w:b/>
                <w:bCs/>
                <w:w w:val="111"/>
              </w:rPr>
            </w:pPr>
            <w:r>
              <w:rPr>
                <w:b/>
                <w:bCs/>
                <w:w w:val="111"/>
              </w:rPr>
              <w:t>Data Collection Proposed</w:t>
            </w:r>
          </w:p>
        </w:tc>
      </w:tr>
      <w:tr w:rsidR="00FE25AB">
        <w:trPr>
          <w:cantSplit/>
          <w:trHeight w:val="946"/>
        </w:trPr>
        <w:tc>
          <w:tcPr>
            <w:tcW w:w="1722" w:type="dxa"/>
            <w:vAlign w:val="center"/>
          </w:tcPr>
          <w:p w:rsidR="00FE25AB" w:rsidRDefault="00FE25AB">
            <w:pPr>
              <w:ind w:left="0"/>
              <w:rPr>
                <w:w w:val="111"/>
              </w:rPr>
            </w:pPr>
            <w:r>
              <w:rPr>
                <w:w w:val="111"/>
              </w:rPr>
              <w:t>Improve journey times</w:t>
            </w:r>
          </w:p>
        </w:tc>
        <w:tc>
          <w:tcPr>
            <w:tcW w:w="2672" w:type="dxa"/>
            <w:vAlign w:val="center"/>
          </w:tcPr>
          <w:p w:rsidR="00FE25AB" w:rsidRDefault="00FE25AB">
            <w:pPr>
              <w:ind w:left="0"/>
              <w:rPr>
                <w:w w:val="111"/>
              </w:rPr>
            </w:pPr>
            <w:r>
              <w:rPr>
                <w:w w:val="111"/>
              </w:rPr>
              <w:t>Reduction in total journey times through network.</w:t>
            </w:r>
          </w:p>
        </w:tc>
        <w:tc>
          <w:tcPr>
            <w:tcW w:w="4253" w:type="dxa"/>
            <w:vMerge w:val="restart"/>
            <w:vAlign w:val="center"/>
          </w:tcPr>
          <w:p w:rsidR="00FE25AB" w:rsidRDefault="00FE25AB">
            <w:pPr>
              <w:ind w:left="0"/>
              <w:rPr>
                <w:w w:val="111"/>
              </w:rPr>
            </w:pPr>
            <w:r>
              <w:rPr>
                <w:w w:val="111"/>
              </w:rPr>
              <w:t xml:space="preserve">Us of </w:t>
            </w:r>
            <w:proofErr w:type="spellStart"/>
            <w:r>
              <w:rPr>
                <w:w w:val="111"/>
              </w:rPr>
              <w:t>trafficmaster</w:t>
            </w:r>
            <w:proofErr w:type="spellEnd"/>
            <w:r>
              <w:rPr>
                <w:w w:val="111"/>
              </w:rPr>
              <w:t xml:space="preserve"> data and/or ANPR origin and destination surveys over minimum two week period to gauge peak and average journey times by time of day and key congestion areas on a network of defined routes and links.</w:t>
            </w:r>
          </w:p>
        </w:tc>
      </w:tr>
      <w:tr w:rsidR="00FE25AB">
        <w:trPr>
          <w:cantSplit/>
          <w:trHeight w:val="910"/>
        </w:trPr>
        <w:tc>
          <w:tcPr>
            <w:tcW w:w="1722" w:type="dxa"/>
            <w:vAlign w:val="center"/>
          </w:tcPr>
          <w:p w:rsidR="00FE25AB" w:rsidRDefault="00FE25AB">
            <w:pPr>
              <w:ind w:left="0"/>
              <w:rPr>
                <w:w w:val="111"/>
              </w:rPr>
            </w:pPr>
            <w:r>
              <w:rPr>
                <w:w w:val="111"/>
              </w:rPr>
              <w:t>Improve journey time reliability</w:t>
            </w:r>
          </w:p>
        </w:tc>
        <w:tc>
          <w:tcPr>
            <w:tcW w:w="2672" w:type="dxa"/>
            <w:vAlign w:val="center"/>
          </w:tcPr>
          <w:p w:rsidR="00FE25AB" w:rsidRDefault="00FE25AB">
            <w:pPr>
              <w:ind w:left="0"/>
              <w:rPr>
                <w:w w:val="111"/>
              </w:rPr>
            </w:pPr>
            <w:r>
              <w:rPr>
                <w:w w:val="111"/>
              </w:rPr>
              <w:t>Variance in journey times reduced throughout day.</w:t>
            </w:r>
          </w:p>
        </w:tc>
        <w:tc>
          <w:tcPr>
            <w:tcW w:w="4253" w:type="dxa"/>
            <w:vMerge/>
            <w:vAlign w:val="center"/>
          </w:tcPr>
          <w:p w:rsidR="00FE25AB" w:rsidRDefault="00FE25AB">
            <w:pPr>
              <w:ind w:left="0"/>
              <w:rPr>
                <w:w w:val="111"/>
              </w:rPr>
            </w:pPr>
          </w:p>
        </w:tc>
      </w:tr>
      <w:tr w:rsidR="00FE25AB">
        <w:trPr>
          <w:trHeight w:val="506"/>
        </w:trPr>
        <w:tc>
          <w:tcPr>
            <w:tcW w:w="1722" w:type="dxa"/>
            <w:vAlign w:val="center"/>
          </w:tcPr>
          <w:p w:rsidR="00FE25AB" w:rsidRDefault="00FE25AB">
            <w:pPr>
              <w:ind w:left="0"/>
              <w:rPr>
                <w:w w:val="111"/>
              </w:rPr>
            </w:pPr>
            <w:r>
              <w:rPr>
                <w:w w:val="111"/>
              </w:rPr>
              <w:t xml:space="preserve">Increase levels of walking </w:t>
            </w:r>
          </w:p>
        </w:tc>
        <w:tc>
          <w:tcPr>
            <w:tcW w:w="2672" w:type="dxa"/>
            <w:vAlign w:val="center"/>
          </w:tcPr>
          <w:p w:rsidR="00FE25AB" w:rsidRDefault="00FE25AB">
            <w:pPr>
              <w:ind w:left="0"/>
              <w:rPr>
                <w:w w:val="111"/>
              </w:rPr>
            </w:pPr>
            <w:r>
              <w:rPr>
                <w:w w:val="111"/>
              </w:rPr>
              <w:t xml:space="preserve">Footfall increases on key routes. </w:t>
            </w:r>
          </w:p>
        </w:tc>
        <w:tc>
          <w:tcPr>
            <w:tcW w:w="4253" w:type="dxa"/>
            <w:vAlign w:val="center"/>
          </w:tcPr>
          <w:p w:rsidR="00FE25AB" w:rsidRDefault="00FE25AB">
            <w:pPr>
              <w:ind w:left="0"/>
              <w:rPr>
                <w:w w:val="111"/>
              </w:rPr>
            </w:pPr>
            <w:r>
              <w:rPr>
                <w:w w:val="111"/>
              </w:rPr>
              <w:t xml:space="preserve">CCTV surveys to provide pedestrian counts on footways and at crossings and on routes to key destinations (rail station </w:t>
            </w:r>
            <w:proofErr w:type="spellStart"/>
            <w:r>
              <w:rPr>
                <w:w w:val="111"/>
              </w:rPr>
              <w:t>etc</w:t>
            </w:r>
            <w:proofErr w:type="spellEnd"/>
            <w:r>
              <w:rPr>
                <w:w w:val="111"/>
              </w:rPr>
              <w:t>)</w:t>
            </w:r>
          </w:p>
        </w:tc>
      </w:tr>
      <w:tr w:rsidR="00FE25AB">
        <w:trPr>
          <w:trHeight w:val="1297"/>
        </w:trPr>
        <w:tc>
          <w:tcPr>
            <w:tcW w:w="1722" w:type="dxa"/>
            <w:vAlign w:val="center"/>
          </w:tcPr>
          <w:p w:rsidR="00FE25AB" w:rsidRDefault="00FE25AB">
            <w:pPr>
              <w:ind w:left="0"/>
              <w:rPr>
                <w:w w:val="111"/>
              </w:rPr>
            </w:pPr>
            <w:r>
              <w:rPr>
                <w:w w:val="111"/>
              </w:rPr>
              <w:t>Increase levels of cycling</w:t>
            </w:r>
          </w:p>
        </w:tc>
        <w:tc>
          <w:tcPr>
            <w:tcW w:w="2672" w:type="dxa"/>
            <w:vAlign w:val="center"/>
          </w:tcPr>
          <w:p w:rsidR="00FE25AB" w:rsidRDefault="00FE25AB">
            <w:pPr>
              <w:ind w:left="0"/>
              <w:rPr>
                <w:w w:val="111"/>
              </w:rPr>
            </w:pPr>
            <w:r>
              <w:rPr>
                <w:w w:val="111"/>
              </w:rPr>
              <w:t>Cycle flow increases on key routes.</w:t>
            </w:r>
          </w:p>
          <w:p w:rsidR="00FE25AB" w:rsidRDefault="00FE25AB">
            <w:pPr>
              <w:ind w:left="0"/>
              <w:rPr>
                <w:w w:val="111"/>
              </w:rPr>
            </w:pPr>
            <w:r>
              <w:rPr>
                <w:w w:val="111"/>
              </w:rPr>
              <w:t>Cycle parking increase.</w:t>
            </w:r>
          </w:p>
        </w:tc>
        <w:tc>
          <w:tcPr>
            <w:tcW w:w="4253" w:type="dxa"/>
            <w:vAlign w:val="center"/>
          </w:tcPr>
          <w:p w:rsidR="00FE25AB" w:rsidRDefault="00FE25AB">
            <w:pPr>
              <w:ind w:left="0"/>
              <w:rPr>
                <w:w w:val="111"/>
              </w:rPr>
            </w:pPr>
            <w:r>
              <w:rPr>
                <w:w w:val="111"/>
              </w:rPr>
              <w:t>CCTV surveys or existing survey data sources to be used to provide cycle counts on a network of defined routes and links.</w:t>
            </w:r>
          </w:p>
        </w:tc>
      </w:tr>
      <w:tr w:rsidR="00FE25AB">
        <w:trPr>
          <w:trHeight w:val="1391"/>
        </w:trPr>
        <w:tc>
          <w:tcPr>
            <w:tcW w:w="1722" w:type="dxa"/>
            <w:vAlign w:val="center"/>
          </w:tcPr>
          <w:p w:rsidR="00FE25AB" w:rsidRDefault="00FE25AB">
            <w:pPr>
              <w:ind w:left="0"/>
              <w:rPr>
                <w:w w:val="111"/>
              </w:rPr>
            </w:pPr>
            <w:r>
              <w:rPr>
                <w:w w:val="111"/>
              </w:rPr>
              <w:t>Increase use of buses</w:t>
            </w:r>
          </w:p>
        </w:tc>
        <w:tc>
          <w:tcPr>
            <w:tcW w:w="2672" w:type="dxa"/>
            <w:vAlign w:val="center"/>
          </w:tcPr>
          <w:p w:rsidR="00FE25AB" w:rsidRDefault="00FE25AB">
            <w:pPr>
              <w:ind w:left="0"/>
              <w:rPr>
                <w:w w:val="111"/>
              </w:rPr>
            </w:pPr>
            <w:r>
              <w:rPr>
                <w:w w:val="111"/>
              </w:rPr>
              <w:t>Passenger increases and more passengers using stops. Greater passenger satisfaction.</w:t>
            </w:r>
          </w:p>
        </w:tc>
        <w:tc>
          <w:tcPr>
            <w:tcW w:w="4253" w:type="dxa"/>
            <w:vAlign w:val="center"/>
          </w:tcPr>
          <w:p w:rsidR="00FE25AB" w:rsidRDefault="00FE25AB">
            <w:pPr>
              <w:ind w:left="0"/>
              <w:rPr>
                <w:w w:val="111"/>
              </w:rPr>
            </w:pPr>
            <w:r>
              <w:rPr>
                <w:w w:val="111"/>
              </w:rPr>
              <w:t>Operator data regarding customer satisfaction and passenger numbers. Counts of passenger numbers at stops to be collected. Waiting time data to be sought or obtained.</w:t>
            </w:r>
          </w:p>
        </w:tc>
      </w:tr>
      <w:tr w:rsidR="00FE25AB">
        <w:trPr>
          <w:trHeight w:val="982"/>
        </w:trPr>
        <w:tc>
          <w:tcPr>
            <w:tcW w:w="1722" w:type="dxa"/>
            <w:vAlign w:val="center"/>
          </w:tcPr>
          <w:p w:rsidR="00FE25AB" w:rsidRDefault="00FE25AB">
            <w:pPr>
              <w:ind w:left="0"/>
              <w:rPr>
                <w:w w:val="111"/>
              </w:rPr>
            </w:pPr>
            <w:r>
              <w:rPr>
                <w:w w:val="111"/>
              </w:rPr>
              <w:t>Increase use of rail station</w:t>
            </w:r>
          </w:p>
        </w:tc>
        <w:tc>
          <w:tcPr>
            <w:tcW w:w="2672" w:type="dxa"/>
            <w:vAlign w:val="center"/>
          </w:tcPr>
          <w:p w:rsidR="00FE25AB" w:rsidRDefault="00FE25AB">
            <w:pPr>
              <w:ind w:left="0"/>
              <w:rPr>
                <w:w w:val="111"/>
              </w:rPr>
            </w:pPr>
            <w:r>
              <w:rPr>
                <w:w w:val="111"/>
              </w:rPr>
              <w:t>Passenger increases and greater passenger satisfaction.</w:t>
            </w:r>
          </w:p>
        </w:tc>
        <w:tc>
          <w:tcPr>
            <w:tcW w:w="4253" w:type="dxa"/>
            <w:vAlign w:val="center"/>
          </w:tcPr>
          <w:p w:rsidR="00FE25AB" w:rsidRDefault="00FE25AB">
            <w:pPr>
              <w:ind w:left="0"/>
              <w:rPr>
                <w:w w:val="111"/>
              </w:rPr>
            </w:pPr>
            <w:r>
              <w:rPr>
                <w:w w:val="111"/>
              </w:rPr>
              <w:t>Customer satisfaction data from Network Rail and passenger growth data to be obtained.</w:t>
            </w:r>
          </w:p>
        </w:tc>
      </w:tr>
      <w:tr w:rsidR="00FE25AB">
        <w:trPr>
          <w:trHeight w:val="1144"/>
        </w:trPr>
        <w:tc>
          <w:tcPr>
            <w:tcW w:w="1722" w:type="dxa"/>
            <w:vAlign w:val="center"/>
          </w:tcPr>
          <w:p w:rsidR="00FE25AB" w:rsidRDefault="00FE25AB">
            <w:pPr>
              <w:ind w:left="0"/>
              <w:rPr>
                <w:w w:val="111"/>
              </w:rPr>
            </w:pPr>
            <w:r>
              <w:rPr>
                <w:w w:val="111"/>
              </w:rPr>
              <w:t>Increase economic prosperity and activity</w:t>
            </w:r>
          </w:p>
        </w:tc>
        <w:tc>
          <w:tcPr>
            <w:tcW w:w="2672" w:type="dxa"/>
            <w:vAlign w:val="center"/>
          </w:tcPr>
          <w:p w:rsidR="00FE25AB" w:rsidRDefault="00FE25AB">
            <w:pPr>
              <w:ind w:left="0"/>
              <w:rPr>
                <w:w w:val="111"/>
              </w:rPr>
            </w:pPr>
            <w:r>
              <w:rPr>
                <w:w w:val="111"/>
              </w:rPr>
              <w:t>More footfall, fewer vacant retail premises and increased land values.</w:t>
            </w:r>
          </w:p>
        </w:tc>
        <w:tc>
          <w:tcPr>
            <w:tcW w:w="4253" w:type="dxa"/>
            <w:vAlign w:val="center"/>
          </w:tcPr>
          <w:p w:rsidR="00FE25AB" w:rsidRDefault="00FE25AB">
            <w:pPr>
              <w:ind w:left="0"/>
              <w:rPr>
                <w:w w:val="111"/>
              </w:rPr>
            </w:pPr>
            <w:r>
              <w:rPr>
                <w:w w:val="111"/>
              </w:rPr>
              <w:t>Footfall counts and baseline assessment of vacancy and land value levels to be obtained.</w:t>
            </w:r>
          </w:p>
        </w:tc>
      </w:tr>
    </w:tbl>
    <w:p w:rsidR="00FE25AB" w:rsidRDefault="00FE25AB">
      <w:pPr>
        <w:rPr>
          <w:w w:val="111"/>
        </w:rPr>
      </w:pPr>
    </w:p>
    <w:p w:rsidR="00FE25AB" w:rsidRDefault="00FE25AB">
      <w:pPr>
        <w:pStyle w:val="ListParagraph"/>
        <w:spacing w:after="0" w:line="240" w:lineRule="auto"/>
        <w:rPr>
          <w:rFonts w:ascii="Arial" w:hAnsi="Arial" w:cs="Arial"/>
          <w:sz w:val="24"/>
          <w:szCs w:val="24"/>
        </w:rPr>
      </w:pPr>
      <w:r>
        <w:rPr>
          <w:rFonts w:ascii="Arial" w:hAnsi="Arial" w:cs="Arial"/>
        </w:rPr>
        <w:br w:type="page"/>
      </w:r>
    </w:p>
    <w:p w:rsidR="00FE25AB" w:rsidRDefault="00FE25AB">
      <w:pPr>
        <w:pStyle w:val="SectionHeading"/>
      </w:pPr>
      <w:r>
        <w:t>7.0</w:t>
      </w:r>
      <w:r>
        <w:tab/>
        <w:t>Conclusions</w:t>
      </w:r>
    </w:p>
    <w:p w:rsidR="00FE25AB" w:rsidRDefault="00FE25AB">
      <w:pPr>
        <w:pStyle w:val="SectionHeading"/>
      </w:pPr>
    </w:p>
    <w:p w:rsidR="00FE25AB" w:rsidRDefault="00FE25AB">
      <w:pPr>
        <w:rPr>
          <w:b/>
          <w:bCs/>
        </w:rPr>
      </w:pPr>
      <w:r>
        <w:t xml:space="preserve">A number of interventions are proposed within the </w:t>
      </w:r>
      <w:proofErr w:type="spellStart"/>
      <w:r>
        <w:t>Strood</w:t>
      </w:r>
      <w:proofErr w:type="spellEnd"/>
      <w:r>
        <w:t xml:space="preserve"> LGF bid to address the issue of poor journey times, improvements to pedestrian accessibility, new cycle facilities and urban realm enhancement. These will form an integrated package of traffic management measures and network improvements.</w:t>
      </w:r>
    </w:p>
    <w:p w:rsidR="00FE25AB" w:rsidRDefault="00FE25AB"/>
    <w:p w:rsidR="00FE25AB" w:rsidRDefault="00FE25AB">
      <w:r>
        <w:t>The scheme returns a benefit cost ratio (BCR) of 2.1. Benefit levels have been assumed at the lower ends of potential ranges in each case, hence the BCR of 2.1 to be a lower bound estimate of the potential conclusion, were more detailed modelling to be carried out.</w:t>
      </w:r>
    </w:p>
    <w:p w:rsidR="00FE25AB" w:rsidRDefault="00FE25AB"/>
    <w:p w:rsidR="00FE25AB" w:rsidRDefault="00FE25AB">
      <w:r>
        <w:t xml:space="preserve">A provisional allocation of £9m has already been allocated for a </w:t>
      </w:r>
      <w:proofErr w:type="spellStart"/>
      <w:r>
        <w:t>Strood</w:t>
      </w:r>
      <w:proofErr w:type="spellEnd"/>
      <w:r>
        <w:t xml:space="preserve"> town centre scheme, plus £1.25m match funding for reconstruction of </w:t>
      </w:r>
      <w:proofErr w:type="spellStart"/>
      <w:r>
        <w:t>Strood</w:t>
      </w:r>
      <w:proofErr w:type="spellEnd"/>
      <w:r>
        <w:t xml:space="preserve"> Station from Network Rail and an additional £2.5m of developer funding.  If approved, the majority of construction works will be delivered in 2016/17 and 2017/18 and there are no high-risk elements to finances or physical delivery of the core scheme. </w:t>
      </w:r>
    </w:p>
    <w:p w:rsidR="00FE25AB" w:rsidRDefault="00FE25AB">
      <w:pPr>
        <w:pStyle w:val="Subsection"/>
      </w:pPr>
    </w:p>
    <w:p w:rsidR="00FE25AB" w:rsidRDefault="00FE25AB">
      <w:r>
        <w:t xml:space="preserve">Medway Council has arrangements in place to effectively procure, manage and govern the projects funded through the LGF, with an established project management toolkit and governance arrangements that involve both elected members and senior officers of the council. There will be sufficient resources in place to deliver this and other LGF projects within Medway. </w:t>
      </w:r>
    </w:p>
    <w:p w:rsidR="00FE25AB" w:rsidRDefault="00FE25AB"/>
    <w:p w:rsidR="00FE25AB" w:rsidRDefault="00FE25AB">
      <w:r>
        <w:t>The objectives of the scheme will be met through delivery of the package of measures proposed, and outcomes will be measured through a planned process of baseline data collection “before and after” substantial scheme delivery.</w:t>
      </w:r>
    </w:p>
    <w:p w:rsidR="00FE25AB" w:rsidRDefault="00FE25AB">
      <w:pPr>
        <w:pStyle w:val="SectionHeading"/>
      </w:pPr>
    </w:p>
    <w:p w:rsidR="00FE25AB" w:rsidRDefault="00FE25AB">
      <w:pPr>
        <w:pStyle w:val="SectionHeading"/>
      </w:pPr>
    </w:p>
    <w:p w:rsidR="00FE25AB" w:rsidRDefault="00FE25AB">
      <w:pPr>
        <w:pStyle w:val="SectionHeading"/>
      </w:pPr>
    </w:p>
    <w:p w:rsidR="00FE25AB" w:rsidRDefault="00FE25AB">
      <w:pPr>
        <w:pStyle w:val="SectionHeading"/>
      </w:pPr>
    </w:p>
    <w:p w:rsidR="00FE25AB" w:rsidRDefault="00FE25AB">
      <w:pPr>
        <w:pStyle w:val="SectionHeading"/>
      </w:pPr>
    </w:p>
    <w:p w:rsidR="00FE25AB" w:rsidRDefault="00FE25AB">
      <w:pPr>
        <w:pStyle w:val="SectionHeading"/>
      </w:pPr>
    </w:p>
    <w:p w:rsidR="00FE25AB" w:rsidRDefault="00FE25AB">
      <w:pPr>
        <w:ind w:left="0"/>
        <w:rPr>
          <w:b/>
          <w:bCs/>
          <w:sz w:val="24"/>
          <w:szCs w:val="24"/>
        </w:rPr>
      </w:pPr>
      <w:r>
        <w:br w:type="page"/>
      </w:r>
    </w:p>
    <w:p w:rsidR="00FE25AB" w:rsidRDefault="00FE25AB">
      <w:pPr>
        <w:pStyle w:val="SectionHeading"/>
      </w:pPr>
      <w:r>
        <w:t>Appendix A –Details of Preferred Scheme</w:t>
      </w:r>
    </w:p>
    <w:p w:rsidR="00FE25AB" w:rsidRDefault="00FE25AB">
      <w:pPr>
        <w:pStyle w:val="SectionHeading"/>
      </w:pPr>
    </w:p>
    <w:tbl>
      <w:tblPr>
        <w:tblW w:w="9214" w:type="dxa"/>
        <w:tblInd w:w="2" w:type="dxa"/>
        <w:tblLayout w:type="fixed"/>
        <w:tblLook w:val="0000" w:firstRow="0" w:lastRow="0" w:firstColumn="0" w:lastColumn="0" w:noHBand="0" w:noVBand="0"/>
      </w:tblPr>
      <w:tblGrid>
        <w:gridCol w:w="851"/>
        <w:gridCol w:w="709"/>
        <w:gridCol w:w="4961"/>
        <w:gridCol w:w="1276"/>
        <w:gridCol w:w="1417"/>
      </w:tblGrid>
      <w:tr w:rsidR="00FE25AB">
        <w:trPr>
          <w:cantSplit/>
          <w:trHeight w:val="1558"/>
        </w:trPr>
        <w:tc>
          <w:tcPr>
            <w:tcW w:w="851" w:type="dxa"/>
            <w:tcBorders>
              <w:top w:val="single" w:sz="4" w:space="0" w:color="auto"/>
              <w:left w:val="single" w:sz="4" w:space="0" w:color="auto"/>
              <w:bottom w:val="single" w:sz="4" w:space="0" w:color="auto"/>
              <w:right w:val="single" w:sz="4" w:space="0" w:color="auto"/>
            </w:tcBorders>
            <w:noWrap/>
            <w:vAlign w:val="center"/>
          </w:tcPr>
          <w:p w:rsidR="00FE25AB" w:rsidRDefault="00FE25AB">
            <w:pPr>
              <w:ind w:left="0"/>
              <w:rPr>
                <w:b/>
                <w:bCs/>
                <w:color w:val="000000"/>
                <w:sz w:val="20"/>
                <w:szCs w:val="20"/>
                <w:lang w:eastAsia="en-GB"/>
              </w:rPr>
            </w:pPr>
            <w:r>
              <w:rPr>
                <w:b/>
                <w:bCs/>
                <w:color w:val="000000"/>
                <w:sz w:val="20"/>
                <w:szCs w:val="20"/>
                <w:lang w:eastAsia="en-GB"/>
              </w:rPr>
              <w:t>Ref</w:t>
            </w:r>
          </w:p>
        </w:tc>
        <w:tc>
          <w:tcPr>
            <w:tcW w:w="709" w:type="dxa"/>
            <w:tcBorders>
              <w:top w:val="single" w:sz="4" w:space="0" w:color="auto"/>
              <w:left w:val="nil"/>
              <w:bottom w:val="single" w:sz="4" w:space="0" w:color="auto"/>
              <w:right w:val="single" w:sz="4" w:space="0" w:color="auto"/>
            </w:tcBorders>
            <w:noWrap/>
            <w:textDirection w:val="btLr"/>
            <w:vAlign w:val="center"/>
          </w:tcPr>
          <w:p w:rsidR="00FE25AB" w:rsidRDefault="00FE25AB">
            <w:pPr>
              <w:ind w:left="113" w:right="113"/>
              <w:rPr>
                <w:b/>
                <w:bCs/>
                <w:color w:val="000000"/>
                <w:sz w:val="20"/>
                <w:szCs w:val="20"/>
                <w:lang w:eastAsia="en-GB"/>
              </w:rPr>
            </w:pPr>
            <w:r>
              <w:rPr>
                <w:b/>
                <w:bCs/>
                <w:color w:val="000000"/>
                <w:sz w:val="20"/>
                <w:szCs w:val="20"/>
                <w:lang w:eastAsia="en-GB"/>
              </w:rPr>
              <w:t>Intervention</w:t>
            </w:r>
          </w:p>
        </w:tc>
        <w:tc>
          <w:tcPr>
            <w:tcW w:w="4961" w:type="dxa"/>
            <w:tcBorders>
              <w:top w:val="single" w:sz="4" w:space="0" w:color="auto"/>
              <w:left w:val="nil"/>
              <w:bottom w:val="single" w:sz="4" w:space="0" w:color="auto"/>
              <w:right w:val="single" w:sz="4" w:space="0" w:color="auto"/>
            </w:tcBorders>
            <w:noWrap/>
            <w:vAlign w:val="center"/>
          </w:tcPr>
          <w:p w:rsidR="00FE25AB" w:rsidRDefault="00FE25AB">
            <w:pPr>
              <w:ind w:left="0"/>
              <w:rPr>
                <w:b/>
                <w:bCs/>
                <w:color w:val="000000"/>
                <w:sz w:val="20"/>
                <w:szCs w:val="20"/>
                <w:lang w:eastAsia="en-GB"/>
              </w:rPr>
            </w:pPr>
            <w:r>
              <w:rPr>
                <w:b/>
                <w:bCs/>
                <w:color w:val="000000"/>
                <w:sz w:val="20"/>
                <w:szCs w:val="20"/>
                <w:lang w:eastAsia="en-GB"/>
              </w:rPr>
              <w:t>Description</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Budget cost estimate</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Budget cost estimates </w:t>
            </w:r>
            <w:r>
              <w:rPr>
                <w:b/>
                <w:bCs/>
                <w:color w:val="000000"/>
                <w:sz w:val="18"/>
                <w:szCs w:val="18"/>
                <w:lang w:eastAsia="en-GB"/>
              </w:rPr>
              <w:t xml:space="preserve">(including 15%  risk </w:t>
            </w:r>
            <w:r>
              <w:rPr>
                <w:b/>
                <w:bCs/>
                <w:color w:val="000000"/>
                <w:sz w:val="18"/>
                <w:szCs w:val="18"/>
                <w:lang w:eastAsia="en-GB"/>
              </w:rPr>
              <w:br/>
              <w:t>+ 15% development)</w:t>
            </w:r>
          </w:p>
        </w:tc>
      </w:tr>
      <w:tr w:rsidR="00FE25AB">
        <w:trPr>
          <w:cantSplit/>
          <w:trHeight w:val="915"/>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TM1</w:t>
            </w:r>
          </w:p>
        </w:tc>
        <w:tc>
          <w:tcPr>
            <w:tcW w:w="709" w:type="dxa"/>
            <w:vMerge w:val="restart"/>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Town Centre traffic management improvement measures</w:t>
            </w: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Micro-simulation modelling of </w:t>
            </w:r>
            <w:proofErr w:type="spellStart"/>
            <w:r>
              <w:rPr>
                <w:color w:val="000000"/>
                <w:sz w:val="20"/>
                <w:szCs w:val="20"/>
                <w:lang w:eastAsia="en-GB"/>
              </w:rPr>
              <w:t>Strood</w:t>
            </w:r>
            <w:proofErr w:type="spellEnd"/>
            <w:r>
              <w:rPr>
                <w:color w:val="000000"/>
                <w:sz w:val="20"/>
                <w:szCs w:val="20"/>
                <w:lang w:eastAsia="en-GB"/>
              </w:rPr>
              <w:t xml:space="preserve"> network to enable the re-validation of </w:t>
            </w:r>
            <w:proofErr w:type="spellStart"/>
            <w:r>
              <w:rPr>
                <w:color w:val="000000"/>
                <w:sz w:val="20"/>
                <w:szCs w:val="20"/>
                <w:lang w:eastAsia="en-GB"/>
              </w:rPr>
              <w:t>Strood</w:t>
            </w:r>
            <w:proofErr w:type="spellEnd"/>
            <w:r>
              <w:rPr>
                <w:color w:val="000000"/>
                <w:sz w:val="20"/>
                <w:szCs w:val="20"/>
                <w:lang w:eastAsia="en-GB"/>
              </w:rPr>
              <w:t xml:space="preserve"> UTC to improve benefits of real time traffic flow control</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£75,000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£ 97,500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TM2</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Reduce and control inbound flows in town centre (gating) during periods of congestion utilising UTC system</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£25,000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£32,500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TM3</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Improvements to signalised intersections to maximise efficiency and determine requirement for signal control</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£1,050,000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£1,365,000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TM4</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Upgrade VMS signing network to provide real time traffic information / traffic messaging</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£200,000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£ 260,000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TM5</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Highway improvements to maximise flows on links - make Commercial Road between High St and Knight Road two-way and improve lane configurations at key junctions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£200,000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£ 260,000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TM6</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Traffic management measures to better manage general traffic flows from Medway City Estate via Commissioner's Road</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£150,000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£ 195,000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TM7</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nil"/>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New and enhanced bus stops in town centre with high quality waiting environments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£84,000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£ 109,200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TM8</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nil"/>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Expand bus real time information and improve the operation and monitoring of bus journey time reliability</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£500,000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£ 650,000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TM9</w:t>
            </w:r>
          </w:p>
        </w:tc>
        <w:tc>
          <w:tcPr>
            <w:tcW w:w="709" w:type="dxa"/>
            <w:vMerge/>
            <w:tcBorders>
              <w:top w:val="nil"/>
              <w:left w:val="single" w:sz="4" w:space="0" w:color="auto"/>
              <w:bottom w:val="single" w:sz="8"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nil"/>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Additional CCTV traffic monitoring cameras in </w:t>
            </w:r>
            <w:proofErr w:type="spellStart"/>
            <w:r>
              <w:rPr>
                <w:color w:val="000000"/>
                <w:sz w:val="20"/>
                <w:szCs w:val="20"/>
                <w:lang w:eastAsia="en-GB"/>
              </w:rPr>
              <w:t>Strood</w:t>
            </w:r>
            <w:proofErr w:type="spellEnd"/>
            <w:r>
              <w:rPr>
                <w:color w:val="000000"/>
                <w:sz w:val="20"/>
                <w:szCs w:val="20"/>
                <w:lang w:eastAsia="en-GB"/>
              </w:rPr>
              <w:t xml:space="preserve"> </w:t>
            </w:r>
          </w:p>
        </w:tc>
        <w:tc>
          <w:tcPr>
            <w:tcW w:w="1276" w:type="dxa"/>
            <w:tcBorders>
              <w:top w:val="nil"/>
              <w:left w:val="single" w:sz="4" w:space="0" w:color="auto"/>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£100,000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130,000 </w:t>
            </w:r>
          </w:p>
        </w:tc>
      </w:tr>
      <w:tr w:rsidR="00FE25AB">
        <w:trPr>
          <w:cantSplit/>
          <w:trHeight w:val="577"/>
        </w:trPr>
        <w:tc>
          <w:tcPr>
            <w:tcW w:w="1560" w:type="dxa"/>
            <w:gridSpan w:val="2"/>
            <w:tcBorders>
              <w:top w:val="single" w:sz="8" w:space="0" w:color="auto"/>
              <w:left w:val="single" w:sz="8" w:space="0" w:color="auto"/>
              <w:bottom w:val="single" w:sz="8" w:space="0" w:color="auto"/>
              <w:right w:val="single" w:sz="4" w:space="0" w:color="auto"/>
            </w:tcBorders>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TM</w:t>
            </w:r>
          </w:p>
        </w:tc>
        <w:tc>
          <w:tcPr>
            <w:tcW w:w="4961" w:type="dxa"/>
            <w:tcBorders>
              <w:top w:val="single" w:sz="8" w:space="0" w:color="auto"/>
              <w:left w:val="nil"/>
              <w:bottom w:val="single" w:sz="8"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Town Centre traffic management improvement measures</w:t>
            </w:r>
          </w:p>
        </w:tc>
        <w:tc>
          <w:tcPr>
            <w:tcW w:w="1276"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£2,384,000</w:t>
            </w:r>
          </w:p>
        </w:tc>
        <w:tc>
          <w:tcPr>
            <w:tcW w:w="1417"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 £ 3,099,200 </w:t>
            </w:r>
          </w:p>
        </w:tc>
      </w:tr>
      <w:tr w:rsidR="00FE25AB">
        <w:trPr>
          <w:cantSplit/>
          <w:trHeight w:val="544"/>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PA1</w:t>
            </w:r>
          </w:p>
        </w:tc>
        <w:tc>
          <w:tcPr>
            <w:tcW w:w="709" w:type="dxa"/>
            <w:vMerge w:val="restart"/>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Pedestrian accessibility throughout town centre</w:t>
            </w: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Footway widening and reconstruction within town centre</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£111,600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£ 145,080 </w:t>
            </w:r>
          </w:p>
        </w:tc>
      </w:tr>
      <w:tr w:rsidR="00FE25AB">
        <w:trPr>
          <w:cantSplit/>
          <w:trHeight w:val="56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PA2</w:t>
            </w:r>
          </w:p>
        </w:tc>
        <w:tc>
          <w:tcPr>
            <w:tcW w:w="709" w:type="dxa"/>
            <w:vMerge/>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Improved controlled crossings - introduction of pedestrian detectors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£175,000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£ 27,500 </w:t>
            </w:r>
          </w:p>
        </w:tc>
      </w:tr>
      <w:tr w:rsidR="00FE25AB">
        <w:trPr>
          <w:cantSplit/>
          <w:trHeight w:val="556"/>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PA3</w:t>
            </w:r>
          </w:p>
        </w:tc>
        <w:tc>
          <w:tcPr>
            <w:tcW w:w="709" w:type="dxa"/>
            <w:vMerge/>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Raised at grade crossings at all Town Centre side roads and narrowed accesses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£156,000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£ 202,800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PA4</w:t>
            </w:r>
          </w:p>
        </w:tc>
        <w:tc>
          <w:tcPr>
            <w:tcW w:w="709" w:type="dxa"/>
            <w:vMerge/>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Pedestrian islands and raised crossings to reduce retail offer severance created by A2 Commercial Road</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£86,000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111,800 </w:t>
            </w:r>
          </w:p>
        </w:tc>
      </w:tr>
      <w:tr w:rsidR="00FE25AB">
        <w:trPr>
          <w:cantSplit/>
          <w:trHeight w:val="418"/>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PA5</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Pedestrian route signing / </w:t>
            </w:r>
            <w:proofErr w:type="spellStart"/>
            <w:r>
              <w:rPr>
                <w:color w:val="000000"/>
                <w:sz w:val="20"/>
                <w:szCs w:val="20"/>
                <w:lang w:eastAsia="en-GB"/>
              </w:rPr>
              <w:t>wayfinding</w:t>
            </w:r>
            <w:proofErr w:type="spellEnd"/>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£30,000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39,000 </w:t>
            </w:r>
          </w:p>
        </w:tc>
      </w:tr>
      <w:tr w:rsidR="00FE25AB">
        <w:trPr>
          <w:cantSplit/>
          <w:trHeight w:val="410"/>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PA6</w:t>
            </w: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proofErr w:type="spellStart"/>
            <w:r>
              <w:rPr>
                <w:color w:val="000000"/>
                <w:sz w:val="20"/>
                <w:szCs w:val="20"/>
                <w:lang w:eastAsia="en-GB"/>
              </w:rPr>
              <w:t>Decluttering</w:t>
            </w:r>
            <w:proofErr w:type="spellEnd"/>
            <w:r>
              <w:rPr>
                <w:color w:val="000000"/>
                <w:sz w:val="20"/>
                <w:szCs w:val="20"/>
                <w:lang w:eastAsia="en-GB"/>
              </w:rPr>
              <w:t xml:space="preserve"> high footfall routes</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£20,000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£ 26,000 </w:t>
            </w:r>
          </w:p>
        </w:tc>
      </w:tr>
      <w:tr w:rsidR="00FE25AB">
        <w:trPr>
          <w:cantSplit/>
          <w:trHeight w:val="417"/>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PA7</w:t>
            </w: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Feature lighting of railway bridges on entrance to town centre</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£80,000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104,000 </w:t>
            </w:r>
          </w:p>
        </w:tc>
      </w:tr>
      <w:tr w:rsidR="00FE25AB">
        <w:trPr>
          <w:cantSplit/>
          <w:trHeight w:val="416"/>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lastRenderedPageBreak/>
              <w:t>PA8</w:t>
            </w: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Pedestrian route lighting scheme - various locations (costs included in PR6)</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   </w:t>
            </w:r>
          </w:p>
        </w:tc>
      </w:tr>
      <w:tr w:rsidR="00FE25AB">
        <w:trPr>
          <w:cantSplit/>
          <w:trHeight w:val="702"/>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PA9</w:t>
            </w:r>
          </w:p>
        </w:tc>
        <w:tc>
          <w:tcPr>
            <w:tcW w:w="709"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Pedestrian accessibility to new railway station</w:t>
            </w: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Footway enhancements between the station and the town centre </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£24,000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£ 31,200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PA10</w:t>
            </w:r>
          </w:p>
        </w:tc>
        <w:tc>
          <w:tcPr>
            <w:tcW w:w="709" w:type="dxa"/>
            <w:vMerge/>
            <w:tcBorders>
              <w:top w:val="single" w:sz="4" w:space="0" w:color="auto"/>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At-grade side road crossings between the station and the town centre  </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£60,000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78,000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PA11</w:t>
            </w:r>
          </w:p>
        </w:tc>
        <w:tc>
          <w:tcPr>
            <w:tcW w:w="709" w:type="dxa"/>
            <w:vMerge/>
            <w:tcBorders>
              <w:top w:val="single" w:sz="4" w:space="0" w:color="auto"/>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nil"/>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Refurbish pedestrian subway tunnel to north of station - cladding / LED lighting and improved security.</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£80,000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£ 104,000 </w:t>
            </w:r>
          </w:p>
        </w:tc>
      </w:tr>
      <w:tr w:rsidR="00FE25AB">
        <w:trPr>
          <w:cantSplit/>
          <w:trHeight w:val="549"/>
        </w:trPr>
        <w:tc>
          <w:tcPr>
            <w:tcW w:w="1560" w:type="dxa"/>
            <w:gridSpan w:val="2"/>
            <w:tcBorders>
              <w:top w:val="single" w:sz="8" w:space="0" w:color="auto"/>
              <w:left w:val="single" w:sz="8" w:space="0" w:color="auto"/>
              <w:bottom w:val="single" w:sz="8" w:space="0" w:color="auto"/>
              <w:right w:val="single" w:sz="4" w:space="0" w:color="auto"/>
            </w:tcBorders>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PA</w:t>
            </w:r>
          </w:p>
        </w:tc>
        <w:tc>
          <w:tcPr>
            <w:tcW w:w="4961" w:type="dxa"/>
            <w:tcBorders>
              <w:top w:val="single" w:sz="8" w:space="0" w:color="auto"/>
              <w:left w:val="nil"/>
              <w:bottom w:val="single" w:sz="8"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Pedestrian accessibility </w:t>
            </w:r>
          </w:p>
        </w:tc>
        <w:tc>
          <w:tcPr>
            <w:tcW w:w="1276"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£822,600</w:t>
            </w:r>
          </w:p>
        </w:tc>
        <w:tc>
          <w:tcPr>
            <w:tcW w:w="1417"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 £1,069,380</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CA1</w:t>
            </w:r>
          </w:p>
        </w:tc>
        <w:tc>
          <w:tcPr>
            <w:tcW w:w="709" w:type="dxa"/>
            <w:vMerge w:val="restart"/>
            <w:tcBorders>
              <w:top w:val="nil"/>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Cyclist accessibility throughout town centre</w:t>
            </w:r>
          </w:p>
        </w:tc>
        <w:tc>
          <w:tcPr>
            <w:tcW w:w="4961" w:type="dxa"/>
            <w:tcBorders>
              <w:top w:val="single" w:sz="4" w:space="0" w:color="auto"/>
              <w:left w:val="nil"/>
              <w:bottom w:val="single" w:sz="4" w:space="0" w:color="auto"/>
              <w:right w:val="single" w:sz="4" w:space="0" w:color="auto"/>
            </w:tcBorders>
            <w:noWrap/>
            <w:vAlign w:val="center"/>
          </w:tcPr>
          <w:p w:rsidR="00FE25AB" w:rsidRDefault="00FE25AB">
            <w:pPr>
              <w:ind w:left="0"/>
              <w:rPr>
                <w:color w:val="000000"/>
                <w:sz w:val="20"/>
                <w:szCs w:val="20"/>
                <w:lang w:eastAsia="en-GB"/>
              </w:rPr>
            </w:pPr>
            <w:r>
              <w:rPr>
                <w:color w:val="000000"/>
                <w:sz w:val="20"/>
                <w:szCs w:val="20"/>
                <w:lang w:eastAsia="en-GB"/>
              </w:rPr>
              <w:t>New cycle route A226 Gravesend Road to National Cycle Route 1 and existing route across Rochester Bridge</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£250,000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325,000 </w:t>
            </w:r>
          </w:p>
        </w:tc>
      </w:tr>
      <w:tr w:rsidR="00FE25AB">
        <w:trPr>
          <w:cantSplit/>
          <w:trHeight w:val="407"/>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CA2</w:t>
            </w:r>
          </w:p>
        </w:tc>
        <w:tc>
          <w:tcPr>
            <w:tcW w:w="709" w:type="dxa"/>
            <w:vMerge/>
            <w:tcBorders>
              <w:top w:val="nil"/>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New Toucan crossings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£30,000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39,000 </w:t>
            </w:r>
          </w:p>
        </w:tc>
      </w:tr>
      <w:tr w:rsidR="00FE25AB">
        <w:trPr>
          <w:cantSplit/>
          <w:trHeight w:val="541"/>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CA3</w:t>
            </w:r>
          </w:p>
        </w:tc>
        <w:tc>
          <w:tcPr>
            <w:tcW w:w="709" w:type="dxa"/>
            <w:vMerge/>
            <w:tcBorders>
              <w:top w:val="nil"/>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New segregated cycle lanes linking proposed cycle / pedestrian boardwalks to town - see CA5 </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£25,000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32,500 </w:t>
            </w:r>
          </w:p>
        </w:tc>
      </w:tr>
      <w:tr w:rsidR="00FE25AB">
        <w:trPr>
          <w:cantSplit/>
          <w:trHeight w:val="421"/>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CA4</w:t>
            </w:r>
          </w:p>
        </w:tc>
        <w:tc>
          <w:tcPr>
            <w:tcW w:w="709" w:type="dxa"/>
            <w:vMerge/>
            <w:tcBorders>
              <w:top w:val="nil"/>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ASL's at signal junctions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£6,000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7,800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CA5</w:t>
            </w:r>
          </w:p>
        </w:tc>
        <w:tc>
          <w:tcPr>
            <w:tcW w:w="709" w:type="dxa"/>
            <w:vMerge/>
            <w:tcBorders>
              <w:top w:val="nil"/>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Boardwalk riverside routes at Rochester Bridge and Civic Centre Site Bridge</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£80,000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104,000 </w:t>
            </w:r>
          </w:p>
        </w:tc>
      </w:tr>
      <w:tr w:rsidR="00FE25AB">
        <w:trPr>
          <w:cantSplit/>
          <w:trHeight w:val="553"/>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CA6</w:t>
            </w:r>
          </w:p>
        </w:tc>
        <w:tc>
          <w:tcPr>
            <w:tcW w:w="709" w:type="dxa"/>
            <w:vMerge/>
            <w:tcBorders>
              <w:top w:val="nil"/>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nil"/>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Cycle direction signing (throughout town centre and to station and businesses)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£30,000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39,000 </w:t>
            </w:r>
          </w:p>
        </w:tc>
      </w:tr>
      <w:tr w:rsidR="00FE25AB">
        <w:trPr>
          <w:cantSplit/>
          <w:trHeight w:val="545"/>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CA7</w:t>
            </w:r>
          </w:p>
        </w:tc>
        <w:tc>
          <w:tcPr>
            <w:tcW w:w="709" w:type="dxa"/>
            <w:vMerge/>
            <w:tcBorders>
              <w:top w:val="nil"/>
              <w:left w:val="single" w:sz="4" w:space="0" w:color="auto"/>
              <w:bottom w:val="single" w:sz="4" w:space="0" w:color="000000"/>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nil"/>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Town centre cycle parking facilities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£15,000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19,500 </w:t>
            </w:r>
          </w:p>
        </w:tc>
      </w:tr>
      <w:tr w:rsidR="00FE25AB">
        <w:trPr>
          <w:cantSplit/>
          <w:trHeight w:val="448"/>
        </w:trPr>
        <w:tc>
          <w:tcPr>
            <w:tcW w:w="1560" w:type="dxa"/>
            <w:gridSpan w:val="2"/>
            <w:tcBorders>
              <w:top w:val="single" w:sz="8" w:space="0" w:color="auto"/>
              <w:left w:val="single" w:sz="8" w:space="0" w:color="auto"/>
              <w:bottom w:val="single" w:sz="8" w:space="0" w:color="auto"/>
              <w:right w:val="single" w:sz="4" w:space="0" w:color="auto"/>
            </w:tcBorders>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CA</w:t>
            </w:r>
          </w:p>
        </w:tc>
        <w:tc>
          <w:tcPr>
            <w:tcW w:w="4961" w:type="dxa"/>
            <w:tcBorders>
              <w:top w:val="single" w:sz="8" w:space="0" w:color="auto"/>
              <w:left w:val="nil"/>
              <w:bottom w:val="single" w:sz="8"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Cyclist accessibility </w:t>
            </w:r>
          </w:p>
        </w:tc>
        <w:tc>
          <w:tcPr>
            <w:tcW w:w="1276"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£436,000</w:t>
            </w:r>
          </w:p>
        </w:tc>
        <w:tc>
          <w:tcPr>
            <w:tcW w:w="1417"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 £     566,800 </w:t>
            </w:r>
          </w:p>
        </w:tc>
      </w:tr>
      <w:tr w:rsidR="00FE25AB">
        <w:trPr>
          <w:cantSplit/>
          <w:trHeight w:val="702"/>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PR1</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Public realm improvements</w:t>
            </w: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Footways reconstructed with high quality materials to reflect urban realm street identity concept for </w:t>
            </w:r>
            <w:proofErr w:type="spellStart"/>
            <w:r>
              <w:rPr>
                <w:color w:val="000000"/>
                <w:sz w:val="20"/>
                <w:szCs w:val="20"/>
                <w:lang w:eastAsia="en-GB"/>
              </w:rPr>
              <w:t>Strood</w:t>
            </w:r>
            <w:proofErr w:type="spellEnd"/>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£86,300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£ 112,690 </w:t>
            </w:r>
          </w:p>
        </w:tc>
      </w:tr>
      <w:tr w:rsidR="00FE25AB">
        <w:trPr>
          <w:cantSplit/>
          <w:trHeight w:val="546"/>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PR2</w:t>
            </w:r>
          </w:p>
        </w:tc>
        <w:tc>
          <w:tcPr>
            <w:tcW w:w="709" w:type="dxa"/>
            <w:vMerge/>
            <w:tcBorders>
              <w:top w:val="single" w:sz="4" w:space="0" w:color="auto"/>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New street furniture provided to agreed palette to reflect concept design</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£15,000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19,500 </w:t>
            </w:r>
          </w:p>
        </w:tc>
      </w:tr>
      <w:tr w:rsidR="00FE25AB">
        <w:trPr>
          <w:cantSplit/>
          <w:trHeight w:val="413"/>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PR3</w:t>
            </w:r>
          </w:p>
        </w:tc>
        <w:tc>
          <w:tcPr>
            <w:tcW w:w="709" w:type="dxa"/>
            <w:vMerge/>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New street trees and planter boxes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£90,000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£ 117,000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PR4</w:t>
            </w:r>
          </w:p>
        </w:tc>
        <w:tc>
          <w:tcPr>
            <w:tcW w:w="709" w:type="dxa"/>
            <w:vMerge/>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Sections of carriageway reconstructed in high quality surfacing (boulevard zone treatment)</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£912,000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1,185,600 </w:t>
            </w:r>
          </w:p>
        </w:tc>
      </w:tr>
      <w:tr w:rsidR="00FE25AB">
        <w:trPr>
          <w:cantSplit/>
          <w:trHeight w:val="4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PR5</w:t>
            </w:r>
          </w:p>
        </w:tc>
        <w:tc>
          <w:tcPr>
            <w:tcW w:w="709" w:type="dxa"/>
            <w:vMerge/>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New green spaces identified and landscaped </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£50,000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65,000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PR6</w:t>
            </w:r>
          </w:p>
        </w:tc>
        <w:tc>
          <w:tcPr>
            <w:tcW w:w="709" w:type="dxa"/>
            <w:vMerge/>
            <w:tcBorders>
              <w:top w:val="nil"/>
              <w:left w:val="single" w:sz="4" w:space="0" w:color="auto"/>
              <w:bottom w:val="nil"/>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Street lighting (and pedestrian lights) upgraded and replaced with energy saving LED white lighting scheme using high-quality gateway lighting </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£400,000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520,000 </w:t>
            </w:r>
          </w:p>
        </w:tc>
      </w:tr>
      <w:tr w:rsidR="00FE25AB">
        <w:trPr>
          <w:cantSplit/>
          <w:trHeight w:val="420"/>
        </w:trPr>
        <w:tc>
          <w:tcPr>
            <w:tcW w:w="1560" w:type="dxa"/>
            <w:gridSpan w:val="2"/>
            <w:tcBorders>
              <w:top w:val="single" w:sz="8" w:space="0" w:color="auto"/>
              <w:left w:val="single" w:sz="8" w:space="0" w:color="auto"/>
              <w:bottom w:val="single" w:sz="8" w:space="0" w:color="auto"/>
              <w:right w:val="single" w:sz="4" w:space="0" w:color="auto"/>
            </w:tcBorders>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PR</w:t>
            </w:r>
          </w:p>
        </w:tc>
        <w:tc>
          <w:tcPr>
            <w:tcW w:w="4961" w:type="dxa"/>
            <w:tcBorders>
              <w:top w:val="single" w:sz="8" w:space="0" w:color="auto"/>
              <w:left w:val="nil"/>
              <w:bottom w:val="single" w:sz="8"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Public realm improvements</w:t>
            </w:r>
          </w:p>
        </w:tc>
        <w:tc>
          <w:tcPr>
            <w:tcW w:w="1276"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£1,553,300</w:t>
            </w:r>
          </w:p>
        </w:tc>
        <w:tc>
          <w:tcPr>
            <w:tcW w:w="1417" w:type="dxa"/>
            <w:tcBorders>
              <w:top w:val="single" w:sz="8"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 £ 2,019,790 </w:t>
            </w:r>
          </w:p>
        </w:tc>
      </w:tr>
      <w:tr w:rsidR="00FE25AB">
        <w:trPr>
          <w:cantSplit/>
          <w:trHeight w:val="540"/>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RO1</w:t>
            </w:r>
          </w:p>
        </w:tc>
        <w:tc>
          <w:tcPr>
            <w:tcW w:w="709" w:type="dxa"/>
            <w:vMerge w:val="restart"/>
            <w:tcBorders>
              <w:top w:val="nil"/>
              <w:left w:val="single" w:sz="4" w:space="0" w:color="auto"/>
              <w:bottom w:val="nil"/>
              <w:right w:val="single" w:sz="4" w:space="0" w:color="auto"/>
            </w:tcBorders>
            <w:noWrap/>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Improved retail offer</w:t>
            </w: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Retail frontage improvement programme - working with traders to enhance visual appeal </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RO2</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Create new seating areas / outside spaces for food and drink (costs included in urban realm budget)</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w:t>
            </w:r>
          </w:p>
        </w:tc>
      </w:tr>
      <w:tr w:rsidR="00FE25AB">
        <w:trPr>
          <w:cantSplit/>
          <w:trHeight w:val="558"/>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RO3</w:t>
            </w: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Introduce new short-stay parking and review and improve loading / taxi facilities (costs included in TM)</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w:t>
            </w:r>
          </w:p>
        </w:tc>
      </w:tr>
      <w:tr w:rsidR="00FE25AB">
        <w:trPr>
          <w:cantSplit/>
          <w:trHeight w:val="702"/>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lastRenderedPageBreak/>
              <w:t>RO4</w:t>
            </w: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Tollgate Lane - Car Park layout and public realm improvements</w:t>
            </w:r>
          </w:p>
        </w:tc>
        <w:tc>
          <w:tcPr>
            <w:tcW w:w="1276"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£430,000</w:t>
            </w:r>
          </w:p>
        </w:tc>
        <w:tc>
          <w:tcPr>
            <w:tcW w:w="1417" w:type="dxa"/>
            <w:tcBorders>
              <w:top w:val="single" w:sz="4" w:space="0" w:color="auto"/>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559,000 </w:t>
            </w:r>
          </w:p>
        </w:tc>
      </w:tr>
      <w:tr w:rsidR="00FE25AB">
        <w:trPr>
          <w:cantSplit/>
          <w:trHeight w:val="517"/>
        </w:trPr>
        <w:tc>
          <w:tcPr>
            <w:tcW w:w="1560" w:type="dxa"/>
            <w:gridSpan w:val="2"/>
            <w:tcBorders>
              <w:top w:val="single" w:sz="4" w:space="0" w:color="auto"/>
              <w:left w:val="single" w:sz="8" w:space="0" w:color="auto"/>
              <w:bottom w:val="single" w:sz="8" w:space="0" w:color="auto"/>
              <w:right w:val="single" w:sz="4" w:space="0" w:color="auto"/>
            </w:tcBorders>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RO</w:t>
            </w:r>
          </w:p>
        </w:tc>
        <w:tc>
          <w:tcPr>
            <w:tcW w:w="4961" w:type="dxa"/>
            <w:tcBorders>
              <w:top w:val="single" w:sz="4" w:space="0" w:color="auto"/>
              <w:left w:val="nil"/>
              <w:bottom w:val="single" w:sz="8" w:space="0" w:color="auto"/>
              <w:right w:val="single" w:sz="4" w:space="0" w:color="auto"/>
            </w:tcBorders>
            <w:noWrap/>
            <w:vAlign w:val="center"/>
          </w:tcPr>
          <w:p w:rsidR="00FE25AB" w:rsidRDefault="00FE25AB">
            <w:pPr>
              <w:ind w:left="0"/>
              <w:jc w:val="right"/>
              <w:rPr>
                <w:b/>
                <w:bCs/>
                <w:color w:val="000000"/>
                <w:sz w:val="20"/>
                <w:szCs w:val="20"/>
                <w:lang w:eastAsia="en-GB"/>
              </w:rPr>
            </w:pPr>
            <w:r>
              <w:rPr>
                <w:b/>
                <w:bCs/>
                <w:color w:val="000000"/>
                <w:sz w:val="20"/>
                <w:szCs w:val="20"/>
                <w:lang w:eastAsia="en-GB"/>
              </w:rPr>
              <w:t>Improved retail offer</w:t>
            </w:r>
          </w:p>
        </w:tc>
        <w:tc>
          <w:tcPr>
            <w:tcW w:w="1276" w:type="dxa"/>
            <w:tcBorders>
              <w:top w:val="single" w:sz="4"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£430,000</w:t>
            </w:r>
          </w:p>
        </w:tc>
        <w:tc>
          <w:tcPr>
            <w:tcW w:w="1417" w:type="dxa"/>
            <w:tcBorders>
              <w:top w:val="single" w:sz="4" w:space="0" w:color="auto"/>
              <w:left w:val="single" w:sz="4" w:space="0" w:color="auto"/>
              <w:bottom w:val="single" w:sz="8"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 £  559,000 </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DEV1</w:t>
            </w:r>
          </w:p>
        </w:tc>
        <w:tc>
          <w:tcPr>
            <w:tcW w:w="709" w:type="dxa"/>
            <w:vMerge w:val="restart"/>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Access improvements to facilitate Riverside development site</w:t>
            </w: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proofErr w:type="spellStart"/>
            <w:r>
              <w:rPr>
                <w:color w:val="000000"/>
                <w:sz w:val="20"/>
                <w:szCs w:val="20"/>
                <w:lang w:eastAsia="en-GB"/>
              </w:rPr>
              <w:t>Strood</w:t>
            </w:r>
            <w:proofErr w:type="spellEnd"/>
            <w:r>
              <w:rPr>
                <w:color w:val="000000"/>
                <w:sz w:val="20"/>
                <w:szCs w:val="20"/>
                <w:lang w:eastAsia="en-GB"/>
              </w:rPr>
              <w:t xml:space="preserve"> Riverside access road improvements to unlock housing development site</w:t>
            </w:r>
          </w:p>
        </w:tc>
        <w:tc>
          <w:tcPr>
            <w:tcW w:w="2693" w:type="dxa"/>
            <w:gridSpan w:val="2"/>
            <w:vMerge w:val="restart"/>
            <w:tcBorders>
              <w:top w:val="single" w:sz="4" w:space="0" w:color="auto"/>
              <w:left w:val="nil"/>
              <w:bottom w:val="nil"/>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Funding to be secured through developer contributions</w:t>
            </w:r>
          </w:p>
        </w:tc>
      </w:tr>
      <w:tr w:rsidR="00FE25AB">
        <w:trPr>
          <w:cantSplit/>
          <w:trHeight w:val="70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i/>
                <w:iCs/>
                <w:color w:val="000000"/>
                <w:sz w:val="20"/>
                <w:szCs w:val="20"/>
                <w:lang w:eastAsia="en-GB"/>
              </w:rPr>
            </w:pPr>
            <w:r>
              <w:rPr>
                <w:i/>
                <w:iCs/>
                <w:color w:val="000000"/>
                <w:sz w:val="20"/>
                <w:szCs w:val="20"/>
                <w:lang w:eastAsia="en-GB"/>
              </w:rPr>
              <w:t>DEVF1</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Developer funding for </w:t>
            </w:r>
            <w:proofErr w:type="spellStart"/>
            <w:r>
              <w:rPr>
                <w:color w:val="000000"/>
                <w:sz w:val="20"/>
                <w:szCs w:val="20"/>
                <w:lang w:eastAsia="en-GB"/>
              </w:rPr>
              <w:t>Strood</w:t>
            </w:r>
            <w:proofErr w:type="spellEnd"/>
            <w:r>
              <w:rPr>
                <w:color w:val="000000"/>
                <w:sz w:val="20"/>
                <w:szCs w:val="20"/>
                <w:lang w:eastAsia="en-GB"/>
              </w:rPr>
              <w:t xml:space="preserve"> Riverside access road and public realm improvements to unlock housing development site</w:t>
            </w:r>
          </w:p>
        </w:tc>
        <w:tc>
          <w:tcPr>
            <w:tcW w:w="2693" w:type="dxa"/>
            <w:gridSpan w:val="2"/>
            <w:vMerge/>
            <w:tcBorders>
              <w:top w:val="nil"/>
              <w:left w:val="nil"/>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433"/>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DEV2</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Improvements to access road junction at High St/Canal Rd Riverside </w:t>
            </w:r>
          </w:p>
        </w:tc>
        <w:tc>
          <w:tcPr>
            <w:tcW w:w="2693" w:type="dxa"/>
            <w:gridSpan w:val="2"/>
            <w:vMerge/>
            <w:tcBorders>
              <w:top w:val="nil"/>
              <w:left w:val="nil"/>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70"/>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i/>
                <w:iCs/>
                <w:color w:val="000000"/>
                <w:sz w:val="20"/>
                <w:szCs w:val="20"/>
                <w:lang w:eastAsia="en-GB"/>
              </w:rPr>
            </w:pPr>
            <w:r>
              <w:rPr>
                <w:i/>
                <w:iCs/>
                <w:color w:val="000000"/>
                <w:sz w:val="20"/>
                <w:szCs w:val="20"/>
                <w:lang w:eastAsia="en-GB"/>
              </w:rPr>
              <w:t>DEVF2</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Developer contribution to improve access at High St/Canal Rd Riverside </w:t>
            </w:r>
          </w:p>
        </w:tc>
        <w:tc>
          <w:tcPr>
            <w:tcW w:w="2693" w:type="dxa"/>
            <w:gridSpan w:val="2"/>
            <w:vMerge/>
            <w:tcBorders>
              <w:top w:val="nil"/>
              <w:left w:val="nil"/>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66"/>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DEV3</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Cycle facilities and pedestrian access improvements for Riverside site</w:t>
            </w:r>
          </w:p>
        </w:tc>
        <w:tc>
          <w:tcPr>
            <w:tcW w:w="2693" w:type="dxa"/>
            <w:gridSpan w:val="2"/>
            <w:vMerge/>
            <w:tcBorders>
              <w:top w:val="nil"/>
              <w:left w:val="nil"/>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22"/>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DEV4</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Pedestrian links to rail station</w:t>
            </w:r>
          </w:p>
        </w:tc>
        <w:tc>
          <w:tcPr>
            <w:tcW w:w="2693" w:type="dxa"/>
            <w:gridSpan w:val="2"/>
            <w:vMerge/>
            <w:tcBorders>
              <w:top w:val="nil"/>
              <w:left w:val="nil"/>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57"/>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DEV5</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Access improvements to facilitate development of former Civic Centre site</w:t>
            </w:r>
          </w:p>
        </w:tc>
        <w:tc>
          <w:tcPr>
            <w:tcW w:w="4961" w:type="dxa"/>
            <w:tcBorders>
              <w:top w:val="single" w:sz="4" w:space="0" w:color="auto"/>
              <w:left w:val="single" w:sz="4" w:space="0" w:color="auto"/>
              <w:bottom w:val="single" w:sz="4" w:space="0" w:color="auto"/>
              <w:right w:val="single" w:sz="4" w:space="0" w:color="auto"/>
            </w:tcBorders>
            <w:noWrap/>
            <w:vAlign w:val="center"/>
          </w:tcPr>
          <w:p w:rsidR="00FE25AB" w:rsidRDefault="00FE25AB">
            <w:pPr>
              <w:ind w:left="0"/>
              <w:rPr>
                <w:color w:val="000000"/>
                <w:sz w:val="20"/>
                <w:szCs w:val="20"/>
                <w:lang w:eastAsia="en-GB"/>
              </w:rPr>
            </w:pPr>
            <w:r>
              <w:rPr>
                <w:color w:val="000000"/>
                <w:sz w:val="20"/>
                <w:szCs w:val="20"/>
                <w:lang w:eastAsia="en-GB"/>
              </w:rPr>
              <w:t>New access road to site – contribute towards high-quality materials</w:t>
            </w:r>
          </w:p>
        </w:tc>
        <w:tc>
          <w:tcPr>
            <w:tcW w:w="2693" w:type="dxa"/>
            <w:gridSpan w:val="2"/>
            <w:vMerge/>
            <w:tcBorders>
              <w:top w:val="nil"/>
              <w:left w:val="single" w:sz="4" w:space="0" w:color="auto"/>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425"/>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i/>
                <w:iCs/>
                <w:color w:val="000000"/>
                <w:sz w:val="20"/>
                <w:szCs w:val="20"/>
                <w:lang w:eastAsia="en-GB"/>
              </w:rPr>
            </w:pPr>
            <w:r>
              <w:rPr>
                <w:i/>
                <w:iCs/>
                <w:color w:val="000000"/>
                <w:sz w:val="20"/>
                <w:szCs w:val="20"/>
                <w:lang w:eastAsia="en-GB"/>
              </w:rPr>
              <w:t>DEVF5</w:t>
            </w: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noWrap/>
            <w:vAlign w:val="center"/>
          </w:tcPr>
          <w:p w:rsidR="00FE25AB" w:rsidRDefault="00FE25AB">
            <w:pPr>
              <w:ind w:left="0"/>
              <w:rPr>
                <w:color w:val="000000"/>
                <w:sz w:val="20"/>
                <w:szCs w:val="20"/>
                <w:lang w:eastAsia="en-GB"/>
              </w:rPr>
            </w:pPr>
            <w:r>
              <w:rPr>
                <w:color w:val="000000"/>
                <w:sz w:val="20"/>
                <w:szCs w:val="20"/>
                <w:lang w:eastAsia="en-GB"/>
              </w:rPr>
              <w:t>Developer contribution to new access road to site</w:t>
            </w:r>
          </w:p>
        </w:tc>
        <w:tc>
          <w:tcPr>
            <w:tcW w:w="2693" w:type="dxa"/>
            <w:gridSpan w:val="2"/>
            <w:vMerge/>
            <w:tcBorders>
              <w:top w:val="nil"/>
              <w:left w:val="single" w:sz="4" w:space="0" w:color="auto"/>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405"/>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DEV6</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Changes to High Street junction to enable access</w:t>
            </w:r>
          </w:p>
        </w:tc>
        <w:tc>
          <w:tcPr>
            <w:tcW w:w="2693" w:type="dxa"/>
            <w:gridSpan w:val="2"/>
            <w:vMerge/>
            <w:tcBorders>
              <w:top w:val="nil"/>
              <w:left w:val="single" w:sz="4" w:space="0" w:color="auto"/>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54"/>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i/>
                <w:iCs/>
                <w:color w:val="000000"/>
                <w:sz w:val="20"/>
                <w:szCs w:val="20"/>
                <w:lang w:eastAsia="en-GB"/>
              </w:rPr>
            </w:pPr>
            <w:r>
              <w:rPr>
                <w:i/>
                <w:iCs/>
                <w:color w:val="000000"/>
                <w:sz w:val="20"/>
                <w:szCs w:val="20"/>
                <w:lang w:eastAsia="en-GB"/>
              </w:rPr>
              <w:t>DEVF6</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Developer funding for changes to High Street junction to enable development access</w:t>
            </w:r>
          </w:p>
        </w:tc>
        <w:tc>
          <w:tcPr>
            <w:tcW w:w="2693" w:type="dxa"/>
            <w:gridSpan w:val="2"/>
            <w:vMerge/>
            <w:tcBorders>
              <w:top w:val="nil"/>
              <w:left w:val="single" w:sz="4" w:space="0" w:color="auto"/>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408"/>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DEV7</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noWrap/>
            <w:vAlign w:val="center"/>
          </w:tcPr>
          <w:p w:rsidR="00FE25AB" w:rsidRDefault="00FE25AB">
            <w:pPr>
              <w:ind w:left="0"/>
              <w:rPr>
                <w:color w:val="000000"/>
                <w:sz w:val="20"/>
                <w:szCs w:val="20"/>
                <w:lang w:eastAsia="en-GB"/>
              </w:rPr>
            </w:pPr>
            <w:r>
              <w:rPr>
                <w:color w:val="000000"/>
                <w:sz w:val="20"/>
                <w:szCs w:val="20"/>
                <w:lang w:eastAsia="en-GB"/>
              </w:rPr>
              <w:t>Pedestrian and cycle links to site</w:t>
            </w:r>
          </w:p>
        </w:tc>
        <w:tc>
          <w:tcPr>
            <w:tcW w:w="2693" w:type="dxa"/>
            <w:gridSpan w:val="2"/>
            <w:vMerge/>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58"/>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DEV8</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Pedestrian facility improvements to enhance rail station walk route – contribution to enhance linkages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£110,577</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£143,750 </w:t>
            </w:r>
          </w:p>
        </w:tc>
      </w:tr>
      <w:tr w:rsidR="00FE25AB">
        <w:trPr>
          <w:cantSplit/>
          <w:trHeight w:val="569"/>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DEVF8</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Developer funding for pedestrian facility improvements to enhance rail station walk route</w:t>
            </w:r>
          </w:p>
        </w:tc>
        <w:tc>
          <w:tcPr>
            <w:tcW w:w="2693" w:type="dxa"/>
            <w:gridSpan w:val="2"/>
            <w:vMerge w:val="restart"/>
            <w:tcBorders>
              <w:top w:val="nil"/>
              <w:left w:val="nil"/>
              <w:bottom w:val="nil"/>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Funding to be secured through developer contributions</w:t>
            </w:r>
          </w:p>
        </w:tc>
      </w:tr>
      <w:tr w:rsidR="00FE25AB">
        <w:trPr>
          <w:cantSplit/>
          <w:trHeight w:val="550"/>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DEV9</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Footway and route signing improvements from development site/s to town centre</w:t>
            </w:r>
          </w:p>
        </w:tc>
        <w:tc>
          <w:tcPr>
            <w:tcW w:w="2693" w:type="dxa"/>
            <w:gridSpan w:val="2"/>
            <w:vMerge/>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60"/>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DEV10</w:t>
            </w:r>
          </w:p>
        </w:tc>
        <w:tc>
          <w:tcPr>
            <w:tcW w:w="709" w:type="dxa"/>
            <w:vMerge w:val="restart"/>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Medway City Estate connectivity improvements</w:t>
            </w: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Develop travel plans for individual / groups of businesses</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£125,000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162,500 </w:t>
            </w:r>
          </w:p>
        </w:tc>
      </w:tr>
      <w:tr w:rsidR="00FE25AB">
        <w:trPr>
          <w:cantSplit/>
          <w:trHeight w:val="554"/>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DEV11</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Improve bus stop infrastructure and information provision</w:t>
            </w:r>
          </w:p>
        </w:tc>
        <w:tc>
          <w:tcPr>
            <w:tcW w:w="1276"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£100,000</w:t>
            </w:r>
          </w:p>
        </w:tc>
        <w:tc>
          <w:tcPr>
            <w:tcW w:w="1417" w:type="dxa"/>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xml:space="preserve"> £   130,000 </w:t>
            </w:r>
          </w:p>
        </w:tc>
      </w:tr>
      <w:tr w:rsidR="00FE25AB">
        <w:trPr>
          <w:cantSplit/>
          <w:trHeight w:val="548"/>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DEV12</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Cycle route signing linking Medway Estate to Canal Rd</w:t>
            </w:r>
          </w:p>
        </w:tc>
        <w:tc>
          <w:tcPr>
            <w:tcW w:w="2693" w:type="dxa"/>
            <w:gridSpan w:val="2"/>
            <w:tcBorders>
              <w:top w:val="nil"/>
              <w:left w:val="nil"/>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415"/>
        </w:trPr>
        <w:tc>
          <w:tcPr>
            <w:tcW w:w="851" w:type="dxa"/>
            <w:tcBorders>
              <w:top w:val="nil"/>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DEV13</w:t>
            </w:r>
          </w:p>
        </w:tc>
        <w:tc>
          <w:tcPr>
            <w:tcW w:w="709" w:type="dxa"/>
            <w:vMerge/>
            <w:tcBorders>
              <w:top w:val="nil"/>
              <w:left w:val="single" w:sz="4" w:space="0" w:color="auto"/>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Cycle lanes and paths on signed routes to developments</w:t>
            </w:r>
          </w:p>
        </w:tc>
        <w:tc>
          <w:tcPr>
            <w:tcW w:w="2693" w:type="dxa"/>
            <w:gridSpan w:val="2"/>
            <w:vMerge w:val="restart"/>
            <w:tcBorders>
              <w:top w:val="nil"/>
              <w:left w:val="nil"/>
              <w:bottom w:val="nil"/>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Funding to be secured through developer contributions</w:t>
            </w:r>
          </w:p>
        </w:tc>
      </w:tr>
      <w:tr w:rsidR="00FE25AB">
        <w:trPr>
          <w:cantSplit/>
          <w:trHeight w:val="664"/>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DEVF13</w:t>
            </w:r>
          </w:p>
        </w:tc>
        <w:tc>
          <w:tcPr>
            <w:tcW w:w="709" w:type="dxa"/>
            <w:tcBorders>
              <w:top w:val="single" w:sz="4" w:space="0" w:color="auto"/>
              <w:left w:val="nil"/>
              <w:bottom w:val="single" w:sz="4" w:space="0" w:color="auto"/>
              <w:right w:val="single" w:sz="4" w:space="0" w:color="auto"/>
            </w:tcBorders>
            <w:textDirection w:val="btLr"/>
            <w:vAlign w:val="center"/>
          </w:tcPr>
          <w:p w:rsidR="00FE25AB" w:rsidRDefault="00FE25AB">
            <w:pPr>
              <w:ind w:left="113" w:right="113"/>
              <w:jc w:val="center"/>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Developer contribution to sustainable transport measures DEV10 to DEV13</w:t>
            </w:r>
          </w:p>
        </w:tc>
        <w:tc>
          <w:tcPr>
            <w:tcW w:w="2693" w:type="dxa"/>
            <w:gridSpan w:val="2"/>
            <w:vMerge/>
            <w:tcBorders>
              <w:top w:val="nil"/>
              <w:left w:val="nil"/>
              <w:bottom w:val="nil"/>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644"/>
        </w:trPr>
        <w:tc>
          <w:tcPr>
            <w:tcW w:w="851"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center"/>
              <w:rPr>
                <w:color w:val="000000"/>
                <w:sz w:val="20"/>
                <w:szCs w:val="20"/>
                <w:lang w:eastAsia="en-GB"/>
              </w:rPr>
            </w:pPr>
            <w:r>
              <w:rPr>
                <w:color w:val="000000"/>
                <w:sz w:val="20"/>
                <w:szCs w:val="20"/>
                <w:lang w:eastAsia="en-GB"/>
              </w:rPr>
              <w:t>DEV14</w:t>
            </w:r>
          </w:p>
        </w:tc>
        <w:tc>
          <w:tcPr>
            <w:tcW w:w="709" w:type="dxa"/>
            <w:tcBorders>
              <w:top w:val="single" w:sz="4" w:space="0" w:color="auto"/>
              <w:left w:val="single" w:sz="4" w:space="0" w:color="auto"/>
              <w:bottom w:val="single" w:sz="8" w:space="0" w:color="000000"/>
              <w:right w:val="single" w:sz="4" w:space="0" w:color="auto"/>
            </w:tcBorders>
            <w:textDirection w:val="btLr"/>
            <w:vAlign w:val="center"/>
          </w:tcPr>
          <w:p w:rsidR="00FE25AB" w:rsidRDefault="00FE25AB">
            <w:pPr>
              <w:ind w:left="113" w:right="113"/>
              <w:rPr>
                <w:b/>
                <w:bCs/>
                <w:color w:val="000000"/>
                <w:sz w:val="20"/>
                <w:szCs w:val="20"/>
                <w:lang w:eastAsia="en-GB"/>
              </w:rPr>
            </w:pP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Improve bus interchange at rail station  - developer funding</w:t>
            </w:r>
          </w:p>
        </w:tc>
        <w:tc>
          <w:tcPr>
            <w:tcW w:w="2693" w:type="dxa"/>
            <w:gridSpan w:val="2"/>
            <w:vMerge/>
            <w:tcBorders>
              <w:top w:val="nil"/>
              <w:left w:val="nil"/>
              <w:bottom w:val="single" w:sz="4" w:space="0" w:color="auto"/>
              <w:right w:val="single" w:sz="4" w:space="0" w:color="auto"/>
            </w:tcBorders>
            <w:vAlign w:val="center"/>
          </w:tcPr>
          <w:p w:rsidR="00FE25AB" w:rsidRDefault="00FE25AB">
            <w:pPr>
              <w:ind w:left="0"/>
              <w:jc w:val="right"/>
              <w:rPr>
                <w:color w:val="000000"/>
                <w:sz w:val="20"/>
                <w:szCs w:val="20"/>
                <w:lang w:eastAsia="en-GB"/>
              </w:rPr>
            </w:pPr>
          </w:p>
        </w:tc>
      </w:tr>
      <w:tr w:rsidR="00FE25AB">
        <w:trPr>
          <w:cantSplit/>
          <w:trHeight w:val="514"/>
        </w:trPr>
        <w:tc>
          <w:tcPr>
            <w:tcW w:w="1560" w:type="dxa"/>
            <w:gridSpan w:val="2"/>
            <w:tcBorders>
              <w:top w:val="single" w:sz="8" w:space="0" w:color="auto"/>
              <w:left w:val="single" w:sz="8" w:space="0" w:color="auto"/>
              <w:bottom w:val="single" w:sz="4" w:space="0" w:color="auto"/>
              <w:right w:val="single" w:sz="4" w:space="0" w:color="auto"/>
            </w:tcBorders>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DEV</w:t>
            </w: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Unlocking development sites / sustainable access to businesses</w:t>
            </w:r>
          </w:p>
        </w:tc>
        <w:tc>
          <w:tcPr>
            <w:tcW w:w="1276" w:type="dxa"/>
            <w:tcBorders>
              <w:top w:val="single" w:sz="8" w:space="0" w:color="auto"/>
              <w:left w:val="single" w:sz="4" w:space="0" w:color="auto"/>
              <w:bottom w:val="single" w:sz="4"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£335,577</w:t>
            </w:r>
          </w:p>
        </w:tc>
        <w:tc>
          <w:tcPr>
            <w:tcW w:w="1417" w:type="dxa"/>
            <w:tcBorders>
              <w:top w:val="single" w:sz="8" w:space="0" w:color="auto"/>
              <w:left w:val="single" w:sz="4" w:space="0" w:color="auto"/>
              <w:bottom w:val="single" w:sz="4"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 £  436,250 </w:t>
            </w:r>
          </w:p>
        </w:tc>
      </w:tr>
      <w:tr w:rsidR="00FE25AB">
        <w:trPr>
          <w:cantSplit/>
          <w:trHeight w:val="514"/>
        </w:trPr>
        <w:tc>
          <w:tcPr>
            <w:tcW w:w="1560" w:type="dxa"/>
            <w:gridSpan w:val="2"/>
            <w:tcBorders>
              <w:top w:val="single" w:sz="4" w:space="0" w:color="auto"/>
              <w:left w:val="single" w:sz="4" w:space="0" w:color="auto"/>
              <w:bottom w:val="single" w:sz="4" w:space="0" w:color="auto"/>
              <w:right w:val="single" w:sz="4" w:space="0" w:color="auto"/>
            </w:tcBorders>
            <w:vAlign w:val="center"/>
          </w:tcPr>
          <w:p w:rsidR="00FE25AB" w:rsidRDefault="00FE25AB">
            <w:pPr>
              <w:ind w:left="113" w:right="113"/>
              <w:jc w:val="center"/>
              <w:rPr>
                <w:b/>
                <w:bCs/>
                <w:color w:val="000000"/>
                <w:sz w:val="20"/>
                <w:szCs w:val="20"/>
                <w:lang w:eastAsia="en-GB"/>
              </w:rPr>
            </w:pPr>
            <w:r>
              <w:rPr>
                <w:b/>
                <w:bCs/>
                <w:color w:val="000000"/>
                <w:sz w:val="20"/>
                <w:szCs w:val="20"/>
                <w:lang w:eastAsia="en-GB"/>
              </w:rPr>
              <w:t>RS1</w:t>
            </w:r>
          </w:p>
        </w:tc>
        <w:tc>
          <w:tcPr>
            <w:tcW w:w="4961" w:type="dxa"/>
            <w:tcBorders>
              <w:top w:val="single" w:sz="4" w:space="0" w:color="auto"/>
              <w:left w:val="nil"/>
              <w:bottom w:val="single" w:sz="4" w:space="0" w:color="auto"/>
              <w:right w:val="single" w:sz="4" w:space="0" w:color="auto"/>
            </w:tcBorders>
            <w:vAlign w:val="center"/>
          </w:tcPr>
          <w:p w:rsidR="00FE25AB" w:rsidRDefault="00FE25AB">
            <w:pPr>
              <w:ind w:left="0"/>
              <w:rPr>
                <w:b/>
                <w:bCs/>
                <w:color w:val="000000"/>
                <w:sz w:val="20"/>
                <w:szCs w:val="20"/>
                <w:lang w:eastAsia="en-GB"/>
              </w:rPr>
            </w:pPr>
            <w:r>
              <w:rPr>
                <w:b/>
                <w:bCs/>
                <w:color w:val="000000"/>
                <w:sz w:val="20"/>
                <w:szCs w:val="20"/>
                <w:lang w:eastAsia="en-GB"/>
              </w:rPr>
              <w:t xml:space="preserve">Match funding for </w:t>
            </w:r>
            <w:proofErr w:type="spellStart"/>
            <w:r>
              <w:rPr>
                <w:b/>
                <w:bCs/>
                <w:color w:val="000000"/>
                <w:sz w:val="20"/>
                <w:szCs w:val="20"/>
                <w:lang w:eastAsia="en-GB"/>
              </w:rPr>
              <w:t>Strood</w:t>
            </w:r>
            <w:proofErr w:type="spellEnd"/>
            <w:r>
              <w:rPr>
                <w:b/>
                <w:bCs/>
                <w:color w:val="000000"/>
                <w:sz w:val="20"/>
                <w:szCs w:val="20"/>
                <w:lang w:eastAsia="en-GB"/>
              </w:rPr>
              <w:t xml:space="preserve"> Station reconstruction</w:t>
            </w:r>
          </w:p>
        </w:tc>
        <w:tc>
          <w:tcPr>
            <w:tcW w:w="1276" w:type="dxa"/>
            <w:tcBorders>
              <w:top w:val="single" w:sz="4" w:space="0" w:color="auto"/>
              <w:left w:val="single" w:sz="4" w:space="0" w:color="auto"/>
              <w:bottom w:val="single" w:sz="4" w:space="0" w:color="auto"/>
              <w:right w:val="single" w:sz="8"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£1,250,000</w:t>
            </w:r>
          </w:p>
        </w:tc>
        <w:tc>
          <w:tcPr>
            <w:tcW w:w="1417"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£1,250,000</w:t>
            </w:r>
          </w:p>
        </w:tc>
      </w:tr>
    </w:tbl>
    <w:p w:rsidR="00FE25AB" w:rsidRDefault="00FE25AB"/>
    <w:p w:rsidR="00FE25AB" w:rsidRDefault="00FE25AB">
      <w:pPr>
        <w:ind w:left="0"/>
        <w:rPr>
          <w:b/>
          <w:bCs/>
        </w:rPr>
      </w:pPr>
    </w:p>
    <w:p w:rsidR="00FE25AB" w:rsidRDefault="00FE25AB">
      <w:pPr>
        <w:ind w:left="0"/>
        <w:rPr>
          <w:b/>
          <w:bCs/>
        </w:rPr>
      </w:pPr>
    </w:p>
    <w:p w:rsidR="00FE25AB" w:rsidRDefault="00FE25AB">
      <w:pPr>
        <w:ind w:left="0"/>
        <w:rPr>
          <w:b/>
          <w:bCs/>
        </w:rPr>
      </w:pPr>
    </w:p>
    <w:p w:rsidR="00FE25AB" w:rsidRDefault="00FE25AB">
      <w:pPr>
        <w:ind w:left="0"/>
        <w:rPr>
          <w:b/>
          <w:bCs/>
        </w:rPr>
      </w:pPr>
    </w:p>
    <w:p w:rsidR="00FE25AB" w:rsidRDefault="00FE25AB">
      <w:pPr>
        <w:ind w:left="0"/>
        <w:rPr>
          <w:b/>
          <w:bCs/>
        </w:rPr>
      </w:pPr>
      <w:r>
        <w:rPr>
          <w:b/>
          <w:bCs/>
        </w:rPr>
        <w:t>Summary</w:t>
      </w:r>
    </w:p>
    <w:p w:rsidR="00FE25AB" w:rsidRDefault="00FE25AB">
      <w:pPr>
        <w:ind w:left="0"/>
        <w:rPr>
          <w:b/>
          <w:bCs/>
        </w:rPr>
      </w:pPr>
    </w:p>
    <w:p w:rsidR="00FE25AB" w:rsidRDefault="00FE25AB">
      <w:pPr>
        <w:ind w:left="0"/>
        <w:rPr>
          <w:b/>
          <w:bCs/>
        </w:rPr>
      </w:pPr>
    </w:p>
    <w:tbl>
      <w:tblPr>
        <w:tblW w:w="9781" w:type="dxa"/>
        <w:tblInd w:w="2" w:type="dxa"/>
        <w:tblLayout w:type="fixed"/>
        <w:tblLook w:val="0000" w:firstRow="0" w:lastRow="0" w:firstColumn="0" w:lastColumn="0" w:noHBand="0" w:noVBand="0"/>
      </w:tblPr>
      <w:tblGrid>
        <w:gridCol w:w="1135"/>
        <w:gridCol w:w="567"/>
        <w:gridCol w:w="6237"/>
        <w:gridCol w:w="1842"/>
      </w:tblGrid>
      <w:tr w:rsidR="00FE25AB">
        <w:trPr>
          <w:cantSplit/>
          <w:trHeight w:val="325"/>
        </w:trPr>
        <w:tc>
          <w:tcPr>
            <w:tcW w:w="1135" w:type="dxa"/>
            <w:tcBorders>
              <w:top w:val="single" w:sz="8" w:space="0" w:color="auto"/>
              <w:left w:val="single" w:sz="8" w:space="0" w:color="auto"/>
              <w:bottom w:val="single" w:sz="4" w:space="0" w:color="auto"/>
              <w:right w:val="single" w:sz="4" w:space="0" w:color="auto"/>
            </w:tcBorders>
            <w:shd w:val="clear" w:color="auto" w:fill="D9D9D9"/>
            <w:vAlign w:val="center"/>
          </w:tcPr>
          <w:p w:rsidR="00FE25AB" w:rsidRDefault="00FE25AB">
            <w:pPr>
              <w:ind w:left="0"/>
              <w:jc w:val="center"/>
              <w:rPr>
                <w:b/>
                <w:bCs/>
                <w:color w:val="000000"/>
                <w:sz w:val="20"/>
                <w:szCs w:val="20"/>
                <w:lang w:eastAsia="en-GB"/>
              </w:rPr>
            </w:pPr>
            <w:r>
              <w:rPr>
                <w:b/>
                <w:bCs/>
                <w:color w:val="000000"/>
                <w:sz w:val="20"/>
                <w:szCs w:val="20"/>
                <w:lang w:eastAsia="en-GB"/>
              </w:rPr>
              <w:t>Ref</w:t>
            </w:r>
          </w:p>
        </w:tc>
        <w:tc>
          <w:tcPr>
            <w:tcW w:w="6804" w:type="dxa"/>
            <w:gridSpan w:val="2"/>
            <w:tcBorders>
              <w:top w:val="single" w:sz="8" w:space="0" w:color="auto"/>
              <w:left w:val="nil"/>
              <w:bottom w:val="single" w:sz="4" w:space="0" w:color="auto"/>
              <w:right w:val="single" w:sz="4" w:space="0" w:color="auto"/>
            </w:tcBorders>
            <w:shd w:val="clear" w:color="auto" w:fill="D9D9D9"/>
            <w:vAlign w:val="center"/>
          </w:tcPr>
          <w:p w:rsidR="00FE25AB" w:rsidRDefault="00FE25AB">
            <w:pPr>
              <w:ind w:left="0"/>
              <w:rPr>
                <w:b/>
                <w:bCs/>
                <w:color w:val="000000"/>
                <w:sz w:val="20"/>
                <w:szCs w:val="20"/>
                <w:lang w:eastAsia="en-GB"/>
              </w:rPr>
            </w:pPr>
            <w:r>
              <w:rPr>
                <w:b/>
                <w:bCs/>
                <w:color w:val="000000"/>
                <w:sz w:val="20"/>
                <w:szCs w:val="20"/>
                <w:lang w:eastAsia="en-GB"/>
              </w:rPr>
              <w:t>Category</w:t>
            </w:r>
          </w:p>
        </w:tc>
        <w:tc>
          <w:tcPr>
            <w:tcW w:w="1842" w:type="dxa"/>
            <w:tcBorders>
              <w:top w:val="single" w:sz="8" w:space="0" w:color="auto"/>
              <w:left w:val="nil"/>
              <w:bottom w:val="single" w:sz="4" w:space="0" w:color="auto"/>
              <w:right w:val="single" w:sz="8" w:space="0" w:color="auto"/>
            </w:tcBorders>
            <w:shd w:val="clear" w:color="auto" w:fill="D9D9D9"/>
            <w:vAlign w:val="center"/>
          </w:tcPr>
          <w:p w:rsidR="00FE25AB" w:rsidRDefault="00FE25AB">
            <w:pPr>
              <w:ind w:left="0"/>
              <w:jc w:val="right"/>
              <w:rPr>
                <w:b/>
                <w:bCs/>
                <w:color w:val="000000"/>
                <w:sz w:val="20"/>
                <w:szCs w:val="20"/>
                <w:lang w:eastAsia="en-GB"/>
              </w:rPr>
            </w:pPr>
            <w:r>
              <w:rPr>
                <w:b/>
                <w:bCs/>
                <w:color w:val="000000"/>
                <w:sz w:val="20"/>
                <w:szCs w:val="20"/>
                <w:lang w:eastAsia="en-GB"/>
              </w:rPr>
              <w:t>Total Costs</w:t>
            </w:r>
          </w:p>
        </w:tc>
      </w:tr>
      <w:tr w:rsidR="00FE25AB">
        <w:trPr>
          <w:cantSplit/>
          <w:trHeight w:val="460"/>
        </w:trPr>
        <w:tc>
          <w:tcPr>
            <w:tcW w:w="1135" w:type="dxa"/>
            <w:tcBorders>
              <w:top w:val="single" w:sz="8" w:space="0" w:color="auto"/>
              <w:left w:val="single" w:sz="8" w:space="0" w:color="auto"/>
              <w:bottom w:val="single" w:sz="4" w:space="0" w:color="auto"/>
              <w:right w:val="single" w:sz="4" w:space="0" w:color="auto"/>
            </w:tcBorders>
            <w:vAlign w:val="center"/>
          </w:tcPr>
          <w:p w:rsidR="00FE25AB" w:rsidRDefault="00FE25AB">
            <w:pPr>
              <w:ind w:left="0"/>
              <w:jc w:val="center"/>
              <w:rPr>
                <w:b/>
                <w:bCs/>
                <w:color w:val="000000"/>
                <w:sz w:val="20"/>
                <w:szCs w:val="20"/>
                <w:lang w:eastAsia="en-GB"/>
              </w:rPr>
            </w:pPr>
            <w:r>
              <w:rPr>
                <w:b/>
                <w:bCs/>
                <w:color w:val="000000"/>
                <w:sz w:val="20"/>
                <w:szCs w:val="20"/>
                <w:lang w:eastAsia="en-GB"/>
              </w:rPr>
              <w:t>TM</w:t>
            </w:r>
          </w:p>
        </w:tc>
        <w:tc>
          <w:tcPr>
            <w:tcW w:w="6804" w:type="dxa"/>
            <w:gridSpan w:val="2"/>
            <w:tcBorders>
              <w:top w:val="single" w:sz="8" w:space="0" w:color="auto"/>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Town Centre traffic management improvement measures</w:t>
            </w:r>
          </w:p>
        </w:tc>
        <w:tc>
          <w:tcPr>
            <w:tcW w:w="1842" w:type="dxa"/>
            <w:tcBorders>
              <w:top w:val="single" w:sz="8" w:space="0" w:color="auto"/>
              <w:left w:val="nil"/>
              <w:bottom w:val="single" w:sz="4" w:space="0" w:color="auto"/>
              <w:right w:val="single" w:sz="8"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£3,099,200</w:t>
            </w:r>
          </w:p>
        </w:tc>
      </w:tr>
      <w:tr w:rsidR="00FE25AB">
        <w:trPr>
          <w:cantSplit/>
          <w:trHeight w:val="460"/>
        </w:trPr>
        <w:tc>
          <w:tcPr>
            <w:tcW w:w="1135" w:type="dxa"/>
            <w:tcBorders>
              <w:top w:val="nil"/>
              <w:left w:val="single" w:sz="8" w:space="0" w:color="auto"/>
              <w:bottom w:val="single" w:sz="4" w:space="0" w:color="auto"/>
              <w:right w:val="single" w:sz="4" w:space="0" w:color="auto"/>
            </w:tcBorders>
            <w:vAlign w:val="center"/>
          </w:tcPr>
          <w:p w:rsidR="00FE25AB" w:rsidRDefault="00FE25AB">
            <w:pPr>
              <w:ind w:left="0"/>
              <w:jc w:val="center"/>
              <w:rPr>
                <w:b/>
                <w:bCs/>
                <w:color w:val="000000"/>
                <w:sz w:val="20"/>
                <w:szCs w:val="20"/>
                <w:lang w:eastAsia="en-GB"/>
              </w:rPr>
            </w:pPr>
            <w:r>
              <w:rPr>
                <w:b/>
                <w:bCs/>
                <w:color w:val="000000"/>
                <w:sz w:val="20"/>
                <w:szCs w:val="20"/>
                <w:lang w:eastAsia="en-GB"/>
              </w:rPr>
              <w:t>PA</w:t>
            </w:r>
          </w:p>
        </w:tc>
        <w:tc>
          <w:tcPr>
            <w:tcW w:w="6804" w:type="dxa"/>
            <w:gridSpan w:val="2"/>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Pedestrian accessibility throughout town centre</w:t>
            </w:r>
          </w:p>
        </w:tc>
        <w:tc>
          <w:tcPr>
            <w:tcW w:w="1842" w:type="dxa"/>
            <w:tcBorders>
              <w:top w:val="nil"/>
              <w:left w:val="nil"/>
              <w:bottom w:val="single" w:sz="4" w:space="0" w:color="auto"/>
              <w:right w:val="single" w:sz="8"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£1,069,380</w:t>
            </w:r>
          </w:p>
        </w:tc>
      </w:tr>
      <w:tr w:rsidR="00FE25AB">
        <w:trPr>
          <w:cantSplit/>
          <w:trHeight w:val="460"/>
        </w:trPr>
        <w:tc>
          <w:tcPr>
            <w:tcW w:w="1135" w:type="dxa"/>
            <w:tcBorders>
              <w:top w:val="nil"/>
              <w:left w:val="single" w:sz="8" w:space="0" w:color="auto"/>
              <w:bottom w:val="single" w:sz="4" w:space="0" w:color="auto"/>
              <w:right w:val="single" w:sz="4" w:space="0" w:color="auto"/>
            </w:tcBorders>
            <w:vAlign w:val="center"/>
          </w:tcPr>
          <w:p w:rsidR="00FE25AB" w:rsidRDefault="00FE25AB">
            <w:pPr>
              <w:ind w:left="0"/>
              <w:jc w:val="center"/>
              <w:rPr>
                <w:b/>
                <w:bCs/>
                <w:color w:val="000000"/>
                <w:sz w:val="20"/>
                <w:szCs w:val="20"/>
                <w:lang w:eastAsia="en-GB"/>
              </w:rPr>
            </w:pPr>
            <w:r>
              <w:rPr>
                <w:b/>
                <w:bCs/>
                <w:color w:val="000000"/>
                <w:sz w:val="20"/>
                <w:szCs w:val="20"/>
                <w:lang w:eastAsia="en-GB"/>
              </w:rPr>
              <w:t>CA</w:t>
            </w:r>
          </w:p>
        </w:tc>
        <w:tc>
          <w:tcPr>
            <w:tcW w:w="6804" w:type="dxa"/>
            <w:gridSpan w:val="2"/>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Cyclist accessibility throughout town centre</w:t>
            </w:r>
          </w:p>
        </w:tc>
        <w:tc>
          <w:tcPr>
            <w:tcW w:w="1842" w:type="dxa"/>
            <w:tcBorders>
              <w:top w:val="nil"/>
              <w:left w:val="nil"/>
              <w:bottom w:val="single" w:sz="4" w:space="0" w:color="auto"/>
              <w:right w:val="single" w:sz="8"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£566,800</w:t>
            </w:r>
          </w:p>
        </w:tc>
      </w:tr>
      <w:tr w:rsidR="00FE25AB">
        <w:trPr>
          <w:cantSplit/>
          <w:trHeight w:val="460"/>
        </w:trPr>
        <w:tc>
          <w:tcPr>
            <w:tcW w:w="1135" w:type="dxa"/>
            <w:tcBorders>
              <w:top w:val="nil"/>
              <w:left w:val="single" w:sz="8" w:space="0" w:color="auto"/>
              <w:bottom w:val="single" w:sz="4" w:space="0" w:color="auto"/>
              <w:right w:val="single" w:sz="4" w:space="0" w:color="auto"/>
            </w:tcBorders>
            <w:vAlign w:val="center"/>
          </w:tcPr>
          <w:p w:rsidR="00FE25AB" w:rsidRDefault="00FE25AB">
            <w:pPr>
              <w:ind w:left="0"/>
              <w:jc w:val="center"/>
              <w:rPr>
                <w:b/>
                <w:bCs/>
                <w:color w:val="000000"/>
                <w:sz w:val="20"/>
                <w:szCs w:val="20"/>
                <w:lang w:eastAsia="en-GB"/>
              </w:rPr>
            </w:pPr>
            <w:r>
              <w:rPr>
                <w:b/>
                <w:bCs/>
                <w:color w:val="000000"/>
                <w:sz w:val="20"/>
                <w:szCs w:val="20"/>
                <w:lang w:eastAsia="en-GB"/>
              </w:rPr>
              <w:t>PR</w:t>
            </w:r>
          </w:p>
        </w:tc>
        <w:tc>
          <w:tcPr>
            <w:tcW w:w="6804" w:type="dxa"/>
            <w:gridSpan w:val="2"/>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Public realm improvements</w:t>
            </w:r>
          </w:p>
        </w:tc>
        <w:tc>
          <w:tcPr>
            <w:tcW w:w="1842" w:type="dxa"/>
            <w:tcBorders>
              <w:top w:val="nil"/>
              <w:left w:val="nil"/>
              <w:bottom w:val="single" w:sz="4" w:space="0" w:color="auto"/>
              <w:right w:val="single" w:sz="8"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£2,019,790</w:t>
            </w:r>
          </w:p>
        </w:tc>
      </w:tr>
      <w:tr w:rsidR="00FE25AB">
        <w:trPr>
          <w:cantSplit/>
          <w:trHeight w:val="460"/>
        </w:trPr>
        <w:tc>
          <w:tcPr>
            <w:tcW w:w="1135" w:type="dxa"/>
            <w:tcBorders>
              <w:top w:val="nil"/>
              <w:left w:val="single" w:sz="8" w:space="0" w:color="auto"/>
              <w:bottom w:val="single" w:sz="4" w:space="0" w:color="auto"/>
              <w:right w:val="single" w:sz="4" w:space="0" w:color="auto"/>
            </w:tcBorders>
            <w:vAlign w:val="center"/>
          </w:tcPr>
          <w:p w:rsidR="00FE25AB" w:rsidRDefault="00FE25AB">
            <w:pPr>
              <w:ind w:left="0"/>
              <w:jc w:val="center"/>
              <w:rPr>
                <w:b/>
                <w:bCs/>
                <w:color w:val="000000"/>
                <w:sz w:val="20"/>
                <w:szCs w:val="20"/>
                <w:lang w:eastAsia="en-GB"/>
              </w:rPr>
            </w:pPr>
            <w:r>
              <w:rPr>
                <w:b/>
                <w:bCs/>
                <w:color w:val="000000"/>
                <w:sz w:val="20"/>
                <w:szCs w:val="20"/>
                <w:lang w:eastAsia="en-GB"/>
              </w:rPr>
              <w:t>RO</w:t>
            </w:r>
          </w:p>
        </w:tc>
        <w:tc>
          <w:tcPr>
            <w:tcW w:w="6804" w:type="dxa"/>
            <w:gridSpan w:val="2"/>
            <w:tcBorders>
              <w:top w:val="nil"/>
              <w:left w:val="nil"/>
              <w:bottom w:val="single" w:sz="4"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Improved retail offer</w:t>
            </w:r>
          </w:p>
        </w:tc>
        <w:tc>
          <w:tcPr>
            <w:tcW w:w="1842" w:type="dxa"/>
            <w:tcBorders>
              <w:top w:val="nil"/>
              <w:left w:val="nil"/>
              <w:bottom w:val="single" w:sz="4" w:space="0" w:color="auto"/>
              <w:right w:val="single" w:sz="8"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559,000</w:t>
            </w:r>
          </w:p>
        </w:tc>
      </w:tr>
      <w:tr w:rsidR="00FE25AB">
        <w:trPr>
          <w:cantSplit/>
          <w:trHeight w:val="460"/>
        </w:trPr>
        <w:tc>
          <w:tcPr>
            <w:tcW w:w="1135" w:type="dxa"/>
            <w:tcBorders>
              <w:top w:val="nil"/>
              <w:left w:val="single" w:sz="8" w:space="0" w:color="auto"/>
              <w:bottom w:val="single" w:sz="8" w:space="0" w:color="auto"/>
              <w:right w:val="single" w:sz="4" w:space="0" w:color="auto"/>
            </w:tcBorders>
            <w:vAlign w:val="center"/>
          </w:tcPr>
          <w:p w:rsidR="00FE25AB" w:rsidRDefault="00FE25AB">
            <w:pPr>
              <w:ind w:left="0"/>
              <w:jc w:val="center"/>
              <w:rPr>
                <w:b/>
                <w:bCs/>
                <w:color w:val="000000"/>
                <w:sz w:val="20"/>
                <w:szCs w:val="20"/>
                <w:lang w:eastAsia="en-GB"/>
              </w:rPr>
            </w:pPr>
            <w:r>
              <w:rPr>
                <w:b/>
                <w:bCs/>
                <w:color w:val="000000"/>
                <w:sz w:val="20"/>
                <w:szCs w:val="20"/>
                <w:lang w:eastAsia="en-GB"/>
              </w:rPr>
              <w:t>DEV</w:t>
            </w:r>
          </w:p>
        </w:tc>
        <w:tc>
          <w:tcPr>
            <w:tcW w:w="6804" w:type="dxa"/>
            <w:gridSpan w:val="2"/>
            <w:tcBorders>
              <w:top w:val="nil"/>
              <w:left w:val="nil"/>
              <w:bottom w:val="single" w:sz="8"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LGF contribution to unlocking development sites / sustainable access to businesses</w:t>
            </w:r>
          </w:p>
        </w:tc>
        <w:tc>
          <w:tcPr>
            <w:tcW w:w="1842" w:type="dxa"/>
            <w:tcBorders>
              <w:top w:val="nil"/>
              <w:left w:val="nil"/>
              <w:bottom w:val="single" w:sz="4" w:space="0" w:color="auto"/>
              <w:right w:val="single" w:sz="8"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  436,250</w:t>
            </w:r>
          </w:p>
        </w:tc>
      </w:tr>
      <w:tr w:rsidR="00FE25AB">
        <w:trPr>
          <w:cantSplit/>
          <w:trHeight w:val="460"/>
        </w:trPr>
        <w:tc>
          <w:tcPr>
            <w:tcW w:w="1135" w:type="dxa"/>
            <w:tcBorders>
              <w:top w:val="nil"/>
              <w:left w:val="single" w:sz="8" w:space="0" w:color="auto"/>
              <w:bottom w:val="single" w:sz="8" w:space="0" w:color="auto"/>
              <w:right w:val="single" w:sz="4" w:space="0" w:color="auto"/>
            </w:tcBorders>
            <w:vAlign w:val="center"/>
          </w:tcPr>
          <w:p w:rsidR="00FE25AB" w:rsidRDefault="00FE25AB">
            <w:pPr>
              <w:ind w:left="0"/>
              <w:jc w:val="center"/>
              <w:rPr>
                <w:b/>
                <w:bCs/>
                <w:color w:val="000000"/>
                <w:sz w:val="20"/>
                <w:szCs w:val="20"/>
                <w:lang w:eastAsia="en-GB"/>
              </w:rPr>
            </w:pPr>
            <w:r>
              <w:rPr>
                <w:b/>
                <w:bCs/>
                <w:color w:val="000000"/>
                <w:sz w:val="20"/>
                <w:szCs w:val="20"/>
                <w:lang w:eastAsia="en-GB"/>
              </w:rPr>
              <w:t>RS</w:t>
            </w:r>
          </w:p>
        </w:tc>
        <w:tc>
          <w:tcPr>
            <w:tcW w:w="6804" w:type="dxa"/>
            <w:gridSpan w:val="2"/>
            <w:tcBorders>
              <w:top w:val="nil"/>
              <w:left w:val="nil"/>
              <w:bottom w:val="single" w:sz="8" w:space="0" w:color="auto"/>
              <w:right w:val="single" w:sz="4" w:space="0" w:color="auto"/>
            </w:tcBorders>
            <w:vAlign w:val="center"/>
          </w:tcPr>
          <w:p w:rsidR="00FE25AB" w:rsidRDefault="00FE25AB">
            <w:pPr>
              <w:ind w:left="0"/>
              <w:rPr>
                <w:color w:val="000000"/>
                <w:sz w:val="20"/>
                <w:szCs w:val="20"/>
                <w:lang w:eastAsia="en-GB"/>
              </w:rPr>
            </w:pPr>
            <w:r>
              <w:rPr>
                <w:color w:val="000000"/>
                <w:sz w:val="20"/>
                <w:szCs w:val="20"/>
                <w:lang w:eastAsia="en-GB"/>
              </w:rPr>
              <w:t xml:space="preserve">Match funding for </w:t>
            </w:r>
            <w:proofErr w:type="spellStart"/>
            <w:r>
              <w:rPr>
                <w:color w:val="000000"/>
                <w:sz w:val="20"/>
                <w:szCs w:val="20"/>
                <w:lang w:eastAsia="en-GB"/>
              </w:rPr>
              <w:t>Strood</w:t>
            </w:r>
            <w:proofErr w:type="spellEnd"/>
            <w:r>
              <w:rPr>
                <w:color w:val="000000"/>
                <w:sz w:val="20"/>
                <w:szCs w:val="20"/>
                <w:lang w:eastAsia="en-GB"/>
              </w:rPr>
              <w:t xml:space="preserve"> Station reconstruction</w:t>
            </w:r>
          </w:p>
        </w:tc>
        <w:tc>
          <w:tcPr>
            <w:tcW w:w="1842" w:type="dxa"/>
            <w:tcBorders>
              <w:top w:val="nil"/>
              <w:left w:val="nil"/>
              <w:bottom w:val="single" w:sz="4" w:space="0" w:color="auto"/>
              <w:right w:val="single" w:sz="8" w:space="0" w:color="auto"/>
            </w:tcBorders>
            <w:vAlign w:val="center"/>
          </w:tcPr>
          <w:p w:rsidR="00FE25AB" w:rsidRDefault="00FE25AB">
            <w:pPr>
              <w:ind w:left="0"/>
              <w:jc w:val="right"/>
              <w:rPr>
                <w:color w:val="000000"/>
                <w:sz w:val="20"/>
                <w:szCs w:val="20"/>
                <w:lang w:eastAsia="en-GB"/>
              </w:rPr>
            </w:pPr>
            <w:r>
              <w:rPr>
                <w:color w:val="000000"/>
                <w:sz w:val="20"/>
                <w:szCs w:val="20"/>
                <w:lang w:eastAsia="en-GB"/>
              </w:rPr>
              <w:t>£1,250,000</w:t>
            </w:r>
          </w:p>
        </w:tc>
      </w:tr>
      <w:tr w:rsidR="00FE25AB">
        <w:trPr>
          <w:cantSplit/>
          <w:trHeight w:val="460"/>
        </w:trPr>
        <w:tc>
          <w:tcPr>
            <w:tcW w:w="1702" w:type="dxa"/>
            <w:gridSpan w:val="2"/>
            <w:tcBorders>
              <w:top w:val="nil"/>
              <w:left w:val="nil"/>
              <w:bottom w:val="nil"/>
              <w:right w:val="nil"/>
            </w:tcBorders>
            <w:textDirection w:val="btLr"/>
            <w:vAlign w:val="center"/>
          </w:tcPr>
          <w:p w:rsidR="00FE25AB" w:rsidRDefault="00FE25AB">
            <w:pPr>
              <w:ind w:left="113" w:right="113"/>
              <w:jc w:val="center"/>
              <w:rPr>
                <w:b/>
                <w:bCs/>
                <w:color w:val="000000"/>
                <w:sz w:val="20"/>
                <w:szCs w:val="20"/>
                <w:lang w:eastAsia="en-GB"/>
              </w:rPr>
            </w:pPr>
          </w:p>
        </w:tc>
        <w:tc>
          <w:tcPr>
            <w:tcW w:w="6237" w:type="dxa"/>
            <w:tcBorders>
              <w:top w:val="nil"/>
              <w:left w:val="nil"/>
              <w:bottom w:val="nil"/>
              <w:right w:val="nil"/>
            </w:tcBorders>
            <w:noWrap/>
            <w:vAlign w:val="center"/>
          </w:tcPr>
          <w:p w:rsidR="00FE25AB" w:rsidRDefault="00FE25AB">
            <w:pPr>
              <w:ind w:left="0"/>
              <w:jc w:val="right"/>
              <w:rPr>
                <w:b/>
                <w:bCs/>
                <w:color w:val="000000"/>
                <w:sz w:val="20"/>
                <w:szCs w:val="20"/>
                <w:lang w:eastAsia="en-GB"/>
              </w:rPr>
            </w:pPr>
            <w:r>
              <w:rPr>
                <w:b/>
                <w:bCs/>
                <w:color w:val="000000"/>
                <w:sz w:val="20"/>
                <w:szCs w:val="20"/>
                <w:lang w:eastAsia="en-GB"/>
              </w:rPr>
              <w:t>Total LGF Funding</w:t>
            </w:r>
          </w:p>
        </w:tc>
        <w:tc>
          <w:tcPr>
            <w:tcW w:w="1842"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£9,000,420</w:t>
            </w:r>
          </w:p>
        </w:tc>
      </w:tr>
      <w:tr w:rsidR="00FE25AB">
        <w:trPr>
          <w:cantSplit/>
          <w:trHeight w:val="460"/>
        </w:trPr>
        <w:tc>
          <w:tcPr>
            <w:tcW w:w="1702" w:type="dxa"/>
            <w:gridSpan w:val="2"/>
            <w:tcBorders>
              <w:top w:val="nil"/>
              <w:left w:val="nil"/>
              <w:bottom w:val="nil"/>
              <w:right w:val="nil"/>
            </w:tcBorders>
            <w:textDirection w:val="btLr"/>
            <w:vAlign w:val="center"/>
          </w:tcPr>
          <w:p w:rsidR="00FE25AB" w:rsidRDefault="00FE25AB">
            <w:pPr>
              <w:ind w:left="113" w:right="113"/>
              <w:jc w:val="center"/>
              <w:rPr>
                <w:b/>
                <w:bCs/>
                <w:color w:val="000000"/>
                <w:sz w:val="20"/>
                <w:szCs w:val="20"/>
                <w:lang w:eastAsia="en-GB"/>
              </w:rPr>
            </w:pPr>
          </w:p>
        </w:tc>
        <w:tc>
          <w:tcPr>
            <w:tcW w:w="6237" w:type="dxa"/>
            <w:tcBorders>
              <w:top w:val="nil"/>
              <w:left w:val="nil"/>
              <w:bottom w:val="nil"/>
              <w:right w:val="nil"/>
            </w:tcBorders>
            <w:noWrap/>
            <w:vAlign w:val="center"/>
          </w:tcPr>
          <w:p w:rsidR="00FE25AB" w:rsidRDefault="00FE25AB">
            <w:pPr>
              <w:ind w:left="0"/>
              <w:jc w:val="right"/>
              <w:rPr>
                <w:b/>
                <w:bCs/>
                <w:color w:val="000000"/>
                <w:sz w:val="20"/>
                <w:szCs w:val="20"/>
                <w:lang w:eastAsia="en-GB"/>
              </w:rPr>
            </w:pPr>
            <w:r>
              <w:rPr>
                <w:b/>
                <w:bCs/>
                <w:color w:val="000000"/>
                <w:sz w:val="20"/>
                <w:szCs w:val="20"/>
                <w:lang w:eastAsia="en-GB"/>
              </w:rPr>
              <w:t>Total developer funding</w:t>
            </w:r>
          </w:p>
        </w:tc>
        <w:tc>
          <w:tcPr>
            <w:tcW w:w="1842"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£2,500,000</w:t>
            </w:r>
          </w:p>
        </w:tc>
      </w:tr>
      <w:tr w:rsidR="00FE25AB">
        <w:trPr>
          <w:cantSplit/>
          <w:trHeight w:val="460"/>
        </w:trPr>
        <w:tc>
          <w:tcPr>
            <w:tcW w:w="1702" w:type="dxa"/>
            <w:gridSpan w:val="2"/>
            <w:tcBorders>
              <w:top w:val="nil"/>
              <w:left w:val="nil"/>
              <w:bottom w:val="nil"/>
              <w:right w:val="nil"/>
            </w:tcBorders>
            <w:textDirection w:val="btLr"/>
            <w:vAlign w:val="center"/>
          </w:tcPr>
          <w:p w:rsidR="00FE25AB" w:rsidRDefault="00FE25AB">
            <w:pPr>
              <w:ind w:left="113" w:right="113"/>
              <w:jc w:val="center"/>
              <w:rPr>
                <w:b/>
                <w:bCs/>
                <w:color w:val="000000"/>
                <w:sz w:val="20"/>
                <w:szCs w:val="20"/>
                <w:lang w:eastAsia="en-GB"/>
              </w:rPr>
            </w:pPr>
          </w:p>
        </w:tc>
        <w:tc>
          <w:tcPr>
            <w:tcW w:w="6237" w:type="dxa"/>
            <w:tcBorders>
              <w:top w:val="nil"/>
              <w:left w:val="nil"/>
              <w:bottom w:val="nil"/>
              <w:right w:val="nil"/>
            </w:tcBorders>
            <w:noWrap/>
            <w:vAlign w:val="center"/>
          </w:tcPr>
          <w:p w:rsidR="00FE25AB" w:rsidRDefault="00FE25AB">
            <w:pPr>
              <w:ind w:left="0"/>
              <w:jc w:val="right"/>
              <w:rPr>
                <w:b/>
                <w:bCs/>
                <w:color w:val="000000"/>
                <w:sz w:val="20"/>
                <w:szCs w:val="20"/>
                <w:lang w:eastAsia="en-GB"/>
              </w:rPr>
            </w:pPr>
            <w:r>
              <w:rPr>
                <w:b/>
                <w:bCs/>
                <w:color w:val="000000"/>
                <w:sz w:val="20"/>
                <w:szCs w:val="20"/>
                <w:lang w:eastAsia="en-GB"/>
              </w:rPr>
              <w:t xml:space="preserve">Network Rail match funding for </w:t>
            </w:r>
            <w:proofErr w:type="spellStart"/>
            <w:r>
              <w:rPr>
                <w:b/>
                <w:bCs/>
                <w:color w:val="000000"/>
                <w:sz w:val="20"/>
                <w:szCs w:val="20"/>
                <w:lang w:eastAsia="en-GB"/>
              </w:rPr>
              <w:t>Strood</w:t>
            </w:r>
            <w:proofErr w:type="spellEnd"/>
            <w:r>
              <w:rPr>
                <w:b/>
                <w:bCs/>
                <w:color w:val="000000"/>
                <w:sz w:val="20"/>
                <w:szCs w:val="20"/>
                <w:lang w:eastAsia="en-GB"/>
              </w:rPr>
              <w:t xml:space="preserve"> Station</w:t>
            </w:r>
          </w:p>
        </w:tc>
        <w:tc>
          <w:tcPr>
            <w:tcW w:w="1842"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£1,250,000</w:t>
            </w:r>
          </w:p>
        </w:tc>
      </w:tr>
      <w:tr w:rsidR="00FE25AB">
        <w:trPr>
          <w:cantSplit/>
          <w:trHeight w:val="460"/>
        </w:trPr>
        <w:tc>
          <w:tcPr>
            <w:tcW w:w="1702" w:type="dxa"/>
            <w:gridSpan w:val="2"/>
            <w:tcBorders>
              <w:top w:val="nil"/>
              <w:left w:val="nil"/>
              <w:bottom w:val="nil"/>
              <w:right w:val="nil"/>
            </w:tcBorders>
            <w:textDirection w:val="btLr"/>
            <w:vAlign w:val="center"/>
          </w:tcPr>
          <w:p w:rsidR="00FE25AB" w:rsidRDefault="00FE25AB">
            <w:pPr>
              <w:ind w:left="113" w:right="113"/>
              <w:jc w:val="center"/>
              <w:rPr>
                <w:b/>
                <w:bCs/>
                <w:color w:val="000000"/>
                <w:sz w:val="20"/>
                <w:szCs w:val="20"/>
                <w:lang w:eastAsia="en-GB"/>
              </w:rPr>
            </w:pPr>
          </w:p>
        </w:tc>
        <w:tc>
          <w:tcPr>
            <w:tcW w:w="6237" w:type="dxa"/>
            <w:tcBorders>
              <w:top w:val="nil"/>
              <w:left w:val="nil"/>
              <w:bottom w:val="nil"/>
              <w:right w:val="nil"/>
            </w:tcBorders>
            <w:noWrap/>
            <w:vAlign w:val="center"/>
          </w:tcPr>
          <w:p w:rsidR="00FE25AB" w:rsidRDefault="00FE25AB">
            <w:pPr>
              <w:ind w:left="0"/>
              <w:jc w:val="right"/>
              <w:rPr>
                <w:b/>
                <w:bCs/>
                <w:color w:val="000000"/>
                <w:sz w:val="20"/>
                <w:szCs w:val="20"/>
                <w:lang w:eastAsia="en-GB"/>
              </w:rPr>
            </w:pPr>
            <w:r>
              <w:rPr>
                <w:b/>
                <w:bCs/>
                <w:color w:val="000000"/>
                <w:sz w:val="20"/>
                <w:szCs w:val="20"/>
                <w:lang w:eastAsia="en-GB"/>
              </w:rPr>
              <w:t>Total investment</w:t>
            </w:r>
          </w:p>
        </w:tc>
        <w:tc>
          <w:tcPr>
            <w:tcW w:w="1842" w:type="dxa"/>
            <w:tcBorders>
              <w:top w:val="single" w:sz="4" w:space="0" w:color="auto"/>
              <w:left w:val="single" w:sz="4" w:space="0" w:color="auto"/>
              <w:bottom w:val="single" w:sz="4" w:space="0" w:color="auto"/>
              <w:right w:val="single" w:sz="4" w:space="0" w:color="auto"/>
            </w:tcBorders>
            <w:vAlign w:val="center"/>
          </w:tcPr>
          <w:p w:rsidR="00FE25AB" w:rsidRDefault="00FE25AB">
            <w:pPr>
              <w:ind w:left="0"/>
              <w:jc w:val="right"/>
              <w:rPr>
                <w:b/>
                <w:bCs/>
                <w:color w:val="000000"/>
                <w:sz w:val="20"/>
                <w:szCs w:val="20"/>
                <w:lang w:eastAsia="en-GB"/>
              </w:rPr>
            </w:pPr>
            <w:r>
              <w:rPr>
                <w:b/>
                <w:bCs/>
                <w:color w:val="000000"/>
                <w:sz w:val="20"/>
                <w:szCs w:val="20"/>
                <w:lang w:eastAsia="en-GB"/>
              </w:rPr>
              <w:t>£12,750,420</w:t>
            </w:r>
          </w:p>
        </w:tc>
      </w:tr>
    </w:tbl>
    <w:p w:rsidR="00FE25AB" w:rsidRDefault="00FE25AB">
      <w:pPr>
        <w:pStyle w:val="SectionHeading"/>
      </w:pPr>
    </w:p>
    <w:p w:rsidR="00FE25AB" w:rsidRDefault="00FE25AB">
      <w:pPr>
        <w:pStyle w:val="SectionHeading"/>
        <w:sectPr w:rsidR="00FE25AB">
          <w:type w:val="continuous"/>
          <w:pgSz w:w="11906" w:h="16838"/>
          <w:pgMar w:top="1440" w:right="1133" w:bottom="1440" w:left="1440" w:header="708" w:footer="708" w:gutter="0"/>
          <w:cols w:space="708"/>
          <w:docGrid w:linePitch="360"/>
        </w:sectPr>
      </w:pPr>
    </w:p>
    <w:p w:rsidR="00FE25AB" w:rsidRDefault="004D0481">
      <w:pPr>
        <w:pStyle w:val="SectionHeading"/>
      </w:pPr>
      <w:r>
        <w:rPr>
          <w:noProof/>
          <w:lang w:eastAsia="en-GB"/>
        </w:rPr>
        <w:lastRenderedPageBreak/>
        <w:pict>
          <v:shape id="_x0000_s1072" type="#_x0000_t202" style="position:absolute;margin-left:516.75pt;margin-top:194.25pt;width:65.25pt;height:36pt;z-index:251693568">
            <v:textbox style="mso-next-textbox:#_x0000_s1072">
              <w:txbxContent>
                <w:p w:rsidR="00FE25AB" w:rsidRDefault="00FE25AB">
                  <w:pPr>
                    <w:ind w:left="0"/>
                    <w:rPr>
                      <w:sz w:val="20"/>
                      <w:szCs w:val="20"/>
                    </w:rPr>
                  </w:pPr>
                  <w:r>
                    <w:rPr>
                      <w:sz w:val="20"/>
                      <w:szCs w:val="20"/>
                    </w:rPr>
                    <w:t>Project Sponsor</w:t>
                  </w:r>
                </w:p>
              </w:txbxContent>
            </v:textbox>
          </v:shape>
        </w:pict>
      </w:r>
      <w:r>
        <w:rPr>
          <w:noProof/>
          <w:lang w:eastAsia="en-GB"/>
        </w:rPr>
        <w:pict>
          <v:shape id="_x0000_s1073" type="#_x0000_t202" style="position:absolute;margin-left:441.75pt;margin-top:102.9pt;width:117pt;height:21.75pt;z-index:251691520" stroked="f">
            <v:textbox style="mso-next-textbox:#_x0000_s1073">
              <w:txbxContent>
                <w:p w:rsidR="00FE25AB" w:rsidRDefault="00FE25AB">
                  <w:pPr>
                    <w:pStyle w:val="BodyText"/>
                    <w:rPr>
                      <w:i/>
                      <w:iCs/>
                      <w:sz w:val="20"/>
                      <w:szCs w:val="20"/>
                    </w:rPr>
                  </w:pPr>
                  <w:r>
                    <w:rPr>
                      <w:i/>
                      <w:iCs/>
                      <w:sz w:val="20"/>
                      <w:szCs w:val="20"/>
                    </w:rPr>
                    <w:t>Medway Council</w:t>
                  </w:r>
                </w:p>
                <w:p w:rsidR="00FE25AB" w:rsidRDefault="00FE25AB">
                  <w:pPr>
                    <w:pStyle w:val="BodyText"/>
                    <w:rPr>
                      <w:rFonts w:ascii="Times New Roman" w:hAnsi="Times New Roman" w:cs="Times New Roman"/>
                      <w:sz w:val="20"/>
                      <w:szCs w:val="20"/>
                    </w:rPr>
                  </w:pPr>
                </w:p>
              </w:txbxContent>
            </v:textbox>
          </v:shape>
        </w:pict>
      </w:r>
      <w:r>
        <w:rPr>
          <w:noProof/>
          <w:lang w:eastAsia="en-GB"/>
        </w:rPr>
        <w:pict>
          <v:shape id="_x0000_s1074" type="#_x0000_t202" style="position:absolute;margin-left:294.75pt;margin-top:102.9pt;width:117pt;height:33.15pt;z-index:251690496" stroked="f">
            <v:textbox style="mso-next-textbox:#_x0000_s1074">
              <w:txbxContent>
                <w:p w:rsidR="00FE25AB" w:rsidRDefault="00FE25AB">
                  <w:pPr>
                    <w:pStyle w:val="BodyText"/>
                    <w:rPr>
                      <w:i/>
                      <w:iCs/>
                      <w:sz w:val="20"/>
                      <w:szCs w:val="20"/>
                    </w:rPr>
                  </w:pPr>
                  <w:r>
                    <w:rPr>
                      <w:i/>
                      <w:iCs/>
                      <w:sz w:val="20"/>
                      <w:szCs w:val="20"/>
                    </w:rPr>
                    <w:t>South East Local</w:t>
                  </w:r>
                  <w:r>
                    <w:rPr>
                      <w:sz w:val="20"/>
                      <w:szCs w:val="20"/>
                    </w:rPr>
                    <w:t xml:space="preserve"> </w:t>
                  </w:r>
                  <w:r>
                    <w:rPr>
                      <w:i/>
                      <w:iCs/>
                      <w:sz w:val="20"/>
                      <w:szCs w:val="20"/>
                    </w:rPr>
                    <w:t>Enterprise Partnership</w:t>
                  </w:r>
                </w:p>
                <w:p w:rsidR="00FE25AB" w:rsidRDefault="00FE25AB">
                  <w:pPr>
                    <w:pStyle w:val="BodyText"/>
                    <w:rPr>
                      <w:sz w:val="20"/>
                      <w:szCs w:val="20"/>
                    </w:rPr>
                  </w:pPr>
                </w:p>
              </w:txbxContent>
            </v:textbox>
          </v:shape>
        </w:pict>
      </w:r>
      <w:r>
        <w:rPr>
          <w:noProof/>
          <w:lang w:eastAsia="en-GB"/>
        </w:rPr>
        <w:pict>
          <v:shape id="_x0000_s1075" type="#_x0000_t202" style="position:absolute;margin-left:487.5pt;margin-top:299.8pt;width:70.5pt;height:37.25pt;z-index:251689472">
            <v:textbox style="mso-next-textbox:#_x0000_s1075">
              <w:txbxContent>
                <w:p w:rsidR="00FE25AB" w:rsidRDefault="00FE25AB">
                  <w:pPr>
                    <w:ind w:left="0"/>
                    <w:rPr>
                      <w:sz w:val="20"/>
                      <w:szCs w:val="20"/>
                    </w:rPr>
                  </w:pPr>
                  <w:r>
                    <w:rPr>
                      <w:sz w:val="20"/>
                      <w:szCs w:val="20"/>
                    </w:rPr>
                    <w:t>Project Owner</w:t>
                  </w:r>
                </w:p>
              </w:txbxContent>
            </v:textbox>
          </v:shape>
        </w:pict>
      </w:r>
      <w:r>
        <w:rPr>
          <w:noProof/>
          <w:lang w:eastAsia="en-GB"/>
        </w:rPr>
        <w:pict>
          <v:shape id="_x0000_s1076" type="#_x0000_t202" style="position:absolute;margin-left:594pt;margin-top:405.15pt;width:117pt;height:36pt;z-index:251688448">
            <v:textbox style="mso-next-textbox:#_x0000_s1076">
              <w:txbxContent>
                <w:p w:rsidR="00FE25AB" w:rsidRDefault="00FE25AB">
                  <w:pPr>
                    <w:ind w:left="0"/>
                    <w:rPr>
                      <w:sz w:val="20"/>
                      <w:szCs w:val="20"/>
                    </w:rPr>
                  </w:pPr>
                  <w:r>
                    <w:rPr>
                      <w:sz w:val="20"/>
                      <w:szCs w:val="20"/>
                    </w:rPr>
                    <w:t>Public</w:t>
                  </w:r>
                </w:p>
                <w:p w:rsidR="00FE25AB" w:rsidRDefault="00FE25AB">
                  <w:pPr>
                    <w:jc w:val="center"/>
                    <w:rPr>
                      <w:sz w:val="20"/>
                      <w:szCs w:val="20"/>
                    </w:rPr>
                  </w:pPr>
                </w:p>
              </w:txbxContent>
            </v:textbox>
          </v:shape>
        </w:pict>
      </w:r>
      <w:r>
        <w:rPr>
          <w:noProof/>
          <w:lang w:eastAsia="en-GB"/>
        </w:rPr>
        <w:pict>
          <v:shape id="_x0000_s1077" type="#_x0000_t202" style="position:absolute;margin-left:6.75pt;margin-top:136.05pt;width:117pt;height:36pt;z-index:251687424">
            <v:textbox style="mso-next-textbox:#_x0000_s1077">
              <w:txbxContent>
                <w:p w:rsidR="00FE25AB" w:rsidRDefault="00FE25AB">
                  <w:pPr>
                    <w:rPr>
                      <w:sz w:val="20"/>
                      <w:szCs w:val="20"/>
                    </w:rPr>
                  </w:pPr>
                  <w:r>
                    <w:rPr>
                      <w:sz w:val="20"/>
                      <w:szCs w:val="20"/>
                    </w:rPr>
                    <w:t>Cabinet</w:t>
                  </w:r>
                </w:p>
              </w:txbxContent>
            </v:textbox>
          </v:shape>
        </w:pict>
      </w:r>
      <w:r>
        <w:rPr>
          <w:noProof/>
          <w:lang w:eastAsia="en-GB"/>
        </w:rPr>
        <w:pict>
          <v:shape id="_x0000_s1078" type="#_x0000_t202" style="position:absolute;margin-left:6.75pt;margin-top:200.8pt;width:117pt;height:36pt;z-index:251686400">
            <v:textbox style="mso-next-textbox:#_x0000_s1078">
              <w:txbxContent>
                <w:p w:rsidR="00FE25AB" w:rsidRDefault="00FE25AB">
                  <w:pPr>
                    <w:ind w:left="0"/>
                    <w:rPr>
                      <w:sz w:val="20"/>
                      <w:szCs w:val="20"/>
                    </w:rPr>
                  </w:pPr>
                  <w:r>
                    <w:rPr>
                      <w:sz w:val="20"/>
                      <w:szCs w:val="20"/>
                    </w:rPr>
                    <w:t>Member Procurement Board</w:t>
                  </w:r>
                </w:p>
              </w:txbxContent>
            </v:textbox>
          </v:shape>
        </w:pict>
      </w:r>
      <w:r>
        <w:rPr>
          <w:noProof/>
          <w:lang w:eastAsia="en-GB"/>
        </w:rPr>
        <w:pict>
          <v:shape id="_x0000_s1079" type="#_x0000_t202" style="position:absolute;margin-left:157.5pt;margin-top:200.8pt;width:117pt;height:36pt;z-index:251685376">
            <v:textbox style="mso-next-textbox:#_x0000_s1079">
              <w:txbxContent>
                <w:p w:rsidR="00FE25AB" w:rsidRDefault="00FE25AB">
                  <w:pPr>
                    <w:ind w:left="0"/>
                    <w:rPr>
                      <w:sz w:val="20"/>
                      <w:szCs w:val="20"/>
                    </w:rPr>
                  </w:pPr>
                  <w:r>
                    <w:rPr>
                      <w:sz w:val="20"/>
                      <w:szCs w:val="20"/>
                    </w:rPr>
                    <w:t>Finance team</w:t>
                  </w:r>
                </w:p>
              </w:txbxContent>
            </v:textbox>
          </v:shape>
        </w:pict>
      </w:r>
      <w:r>
        <w:rPr>
          <w:noProof/>
          <w:lang w:eastAsia="en-GB"/>
        </w:rPr>
        <w:pict>
          <v:shape id="_x0000_s1080" type="#_x0000_t202" style="position:absolute;margin-left:259.5pt;margin-top:404.95pt;width:299.25pt;height:27pt;z-index:251684352">
            <v:textbox style="mso-next-textbox:#_x0000_s1080">
              <w:txbxContent>
                <w:p w:rsidR="00FE25AB" w:rsidRDefault="00FE25AB">
                  <w:pPr>
                    <w:jc w:val="center"/>
                    <w:rPr>
                      <w:sz w:val="20"/>
                      <w:szCs w:val="20"/>
                    </w:rPr>
                  </w:pPr>
                  <w:r>
                    <w:rPr>
                      <w:sz w:val="20"/>
                      <w:szCs w:val="20"/>
                    </w:rPr>
                    <w:t>Project Support team</w:t>
                  </w:r>
                </w:p>
              </w:txbxContent>
            </v:textbox>
          </v:shape>
        </w:pict>
      </w:r>
      <w:r>
        <w:rPr>
          <w:noProof/>
          <w:lang w:eastAsia="en-GB"/>
        </w:rPr>
        <w:pict>
          <v:shape id="_x0000_s1081" type="#_x0000_t202" style="position:absolute;margin-left:398.25pt;margin-top:359.25pt;width:159.75pt;height:36pt;z-index:251683328">
            <v:textbox style="mso-next-textbox:#_x0000_s1081">
              <w:txbxContent>
                <w:p w:rsidR="00FE25AB" w:rsidRDefault="00FE25AB">
                  <w:pPr>
                    <w:ind w:left="0"/>
                    <w:rPr>
                      <w:sz w:val="20"/>
                      <w:szCs w:val="20"/>
                    </w:rPr>
                  </w:pPr>
                  <w:r>
                    <w:rPr>
                      <w:sz w:val="20"/>
                      <w:szCs w:val="20"/>
                    </w:rPr>
                    <w:t xml:space="preserve">Multi-Disciplinary Project Team &amp; Consultant Support </w:t>
                  </w:r>
                </w:p>
              </w:txbxContent>
            </v:textbox>
          </v:shape>
        </w:pict>
      </w:r>
      <w:r>
        <w:rPr>
          <w:noProof/>
          <w:lang w:eastAsia="en-GB"/>
        </w:rPr>
        <w:pict>
          <v:shape id="_x0000_s1082" type="#_x0000_t202" style="position:absolute;margin-left:156.75pt;margin-top:301.05pt;width:90.75pt;height:27pt;z-index:251681280">
            <v:textbox style="mso-next-textbox:#_x0000_s1082">
              <w:txbxContent>
                <w:p w:rsidR="00FE25AB" w:rsidRDefault="00FE25AB">
                  <w:pPr>
                    <w:ind w:left="0"/>
                    <w:rPr>
                      <w:sz w:val="20"/>
                      <w:szCs w:val="20"/>
                    </w:rPr>
                  </w:pPr>
                  <w:r>
                    <w:rPr>
                      <w:sz w:val="20"/>
                      <w:szCs w:val="20"/>
                    </w:rPr>
                    <w:t>Internal audit</w:t>
                  </w:r>
                </w:p>
              </w:txbxContent>
            </v:textbox>
          </v:shape>
        </w:pict>
      </w:r>
      <w:r>
        <w:rPr>
          <w:noProof/>
          <w:lang w:eastAsia="en-GB"/>
        </w:rPr>
        <w:pict>
          <v:shape id="_x0000_s1083" type="#_x0000_t202" style="position:absolute;margin-left:6.75pt;margin-top:52.95pt;width:267pt;height:36pt;z-index:251680256" strokeweight="1.25pt">
            <v:textbox style="mso-next-textbox:#_x0000_s1083">
              <w:txbxContent>
                <w:p w:rsidR="00FE25AB" w:rsidRDefault="00FE25AB">
                  <w:pPr>
                    <w:pStyle w:val="BodyText2"/>
                    <w:jc w:val="left"/>
                  </w:pPr>
                  <w:r>
                    <w:t>Financial Management</w:t>
                  </w:r>
                </w:p>
              </w:txbxContent>
            </v:textbox>
          </v:shape>
        </w:pict>
      </w:r>
      <w:r>
        <w:rPr>
          <w:noProof/>
          <w:lang w:eastAsia="en-GB"/>
        </w:rPr>
        <w:pict>
          <v:shape id="_x0000_s1084" type="#_x0000_t202" style="position:absolute;margin-left:311.25pt;margin-top:194.25pt;width:100.5pt;height:42.7pt;z-index:251679232">
            <v:textbox style="mso-next-textbox:#_x0000_s1084">
              <w:txbxContent>
                <w:p w:rsidR="00FE25AB" w:rsidRDefault="00FE25AB">
                  <w:pPr>
                    <w:pStyle w:val="BodyText"/>
                    <w:rPr>
                      <w:sz w:val="20"/>
                      <w:szCs w:val="20"/>
                    </w:rPr>
                  </w:pPr>
                  <w:r>
                    <w:rPr>
                      <w:sz w:val="20"/>
                      <w:szCs w:val="20"/>
                    </w:rPr>
                    <w:t>Independent Technical Evaluator</w:t>
                  </w:r>
                </w:p>
              </w:txbxContent>
            </v:textbox>
          </v:shape>
        </w:pict>
      </w:r>
      <w:r>
        <w:rPr>
          <w:noProof/>
          <w:lang w:eastAsia="en-GB"/>
        </w:rPr>
        <w:pict>
          <v:shape id="_x0000_s1085" type="#_x0000_t202" style="position:absolute;margin-left:311.25pt;margin-top:136.05pt;width:100.5pt;height:23.85pt;z-index:251678208">
            <v:textbox style="mso-next-textbox:#_x0000_s1085">
              <w:txbxContent>
                <w:p w:rsidR="00FE25AB" w:rsidRDefault="00FE25AB">
                  <w:pPr>
                    <w:pStyle w:val="BodyText"/>
                    <w:rPr>
                      <w:sz w:val="20"/>
                      <w:szCs w:val="20"/>
                    </w:rPr>
                  </w:pPr>
                  <w:r>
                    <w:rPr>
                      <w:sz w:val="20"/>
                      <w:szCs w:val="20"/>
                    </w:rPr>
                    <w:t>SE LEP Board</w:t>
                  </w:r>
                </w:p>
              </w:txbxContent>
            </v:textbox>
          </v:shape>
        </w:pict>
      </w:r>
      <w:r>
        <w:rPr>
          <w:noProof/>
          <w:lang w:eastAsia="en-GB"/>
        </w:rPr>
        <w:pict>
          <v:shape id="_x0000_s1086" type="#_x0000_t202" style="position:absolute;margin-left:156.75pt;margin-top:136.05pt;width:117pt;height:36pt;z-index:251677184">
            <v:textbox style="mso-next-textbox:#_x0000_s1086">
              <w:txbxContent>
                <w:p w:rsidR="00FE25AB" w:rsidRDefault="00FE25AB">
                  <w:pPr>
                    <w:rPr>
                      <w:sz w:val="20"/>
                      <w:szCs w:val="20"/>
                    </w:rPr>
                  </w:pPr>
                  <w:r>
                    <w:rPr>
                      <w:sz w:val="20"/>
                      <w:szCs w:val="20"/>
                    </w:rPr>
                    <w:t>S151 officer</w:t>
                  </w:r>
                </w:p>
              </w:txbxContent>
            </v:textbox>
          </v:shape>
        </w:pict>
      </w:r>
      <w:r>
        <w:rPr>
          <w:noProof/>
          <w:lang w:eastAsia="en-GB"/>
        </w:rPr>
        <w:pict>
          <v:shape id="_x0000_s1087" type="#_x0000_t202" style="position:absolute;margin-left:594pt;margin-top:301.05pt;width:117pt;height:36pt;z-index:251676160">
            <v:textbox style="mso-next-textbox:#_x0000_s1087">
              <w:txbxContent>
                <w:p w:rsidR="00FE25AB" w:rsidRDefault="00FE25AB">
                  <w:pPr>
                    <w:pStyle w:val="BodyText"/>
                    <w:rPr>
                      <w:sz w:val="20"/>
                      <w:szCs w:val="20"/>
                    </w:rPr>
                  </w:pPr>
                  <w:r>
                    <w:rPr>
                      <w:sz w:val="20"/>
                      <w:szCs w:val="20"/>
                    </w:rPr>
                    <w:t>Portfolio Holder for Frontline Services</w:t>
                  </w:r>
                </w:p>
              </w:txbxContent>
            </v:textbox>
          </v:shape>
        </w:pict>
      </w:r>
      <w:r>
        <w:rPr>
          <w:noProof/>
          <w:lang w:eastAsia="en-GB"/>
        </w:rPr>
        <w:pict>
          <v:shape id="_x0000_s1088" type="#_x0000_t202" style="position:absolute;margin-left:594pt;margin-top:344.3pt;width:117pt;height:23.2pt;z-index:251675136">
            <v:textbox style="mso-next-textbox:#_x0000_s1088">
              <w:txbxContent>
                <w:p w:rsidR="00FE25AB" w:rsidRDefault="00FE25AB">
                  <w:pPr>
                    <w:ind w:left="0"/>
                    <w:rPr>
                      <w:sz w:val="20"/>
                      <w:szCs w:val="20"/>
                    </w:rPr>
                  </w:pPr>
                  <w:r>
                    <w:rPr>
                      <w:sz w:val="20"/>
                      <w:szCs w:val="20"/>
                    </w:rPr>
                    <w:t>Ward Councillors</w:t>
                  </w:r>
                </w:p>
              </w:txbxContent>
            </v:textbox>
          </v:shape>
        </w:pict>
      </w:r>
      <w:r>
        <w:rPr>
          <w:noProof/>
          <w:lang w:eastAsia="en-GB"/>
        </w:rPr>
        <w:pict>
          <v:shape id="_x0000_s1089" type="#_x0000_t202" style="position:absolute;margin-left:594pt;margin-top:375.3pt;width:117pt;height:19.95pt;z-index:251674112">
            <v:textbox style="mso-next-textbox:#_x0000_s1089">
              <w:txbxContent>
                <w:p w:rsidR="00FE25AB" w:rsidRDefault="00FE25AB">
                  <w:pPr>
                    <w:ind w:left="0"/>
                  </w:pPr>
                  <w:r>
                    <w:rPr>
                      <w:sz w:val="20"/>
                      <w:szCs w:val="20"/>
                    </w:rPr>
                    <w:t>Business (1)</w:t>
                  </w:r>
                </w:p>
              </w:txbxContent>
            </v:textbox>
          </v:shape>
        </w:pict>
      </w:r>
      <w:r>
        <w:rPr>
          <w:noProof/>
          <w:lang w:eastAsia="en-GB"/>
        </w:rPr>
        <w:pict>
          <v:shape id="_x0000_s1090" type="#_x0000_t202" style="position:absolute;margin-left:428.25pt;margin-top:136.05pt;width:117pt;height:44.85pt;z-index:251672064">
            <v:textbox style="mso-next-textbox:#_x0000_s1090">
              <w:txbxContent>
                <w:p w:rsidR="00FE25AB" w:rsidRDefault="00FE25AB">
                  <w:pPr>
                    <w:pStyle w:val="BodyText"/>
                    <w:rPr>
                      <w:sz w:val="20"/>
                      <w:szCs w:val="20"/>
                    </w:rPr>
                  </w:pPr>
                  <w:r>
                    <w:rPr>
                      <w:sz w:val="20"/>
                      <w:szCs w:val="20"/>
                    </w:rPr>
                    <w:t xml:space="preserve">Member Advisory Project Board </w:t>
                  </w:r>
                </w:p>
                <w:p w:rsidR="00FE25AB" w:rsidRDefault="00FE25AB">
                  <w:pPr>
                    <w:pStyle w:val="BodyText"/>
                    <w:rPr>
                      <w:rFonts w:ascii="Times New Roman" w:hAnsi="Times New Roman" w:cs="Times New Roman"/>
                      <w:sz w:val="20"/>
                      <w:szCs w:val="20"/>
                    </w:rPr>
                  </w:pPr>
                  <w:r>
                    <w:rPr>
                      <w:sz w:val="20"/>
                      <w:szCs w:val="20"/>
                    </w:rPr>
                    <w:t>&amp; Cabinet</w:t>
                  </w:r>
                </w:p>
              </w:txbxContent>
            </v:textbox>
          </v:shape>
        </w:pict>
      </w:r>
      <w:r>
        <w:rPr>
          <w:noProof/>
          <w:lang w:eastAsia="en-GB"/>
        </w:rPr>
        <w:pict>
          <v:shape id="_x0000_s1091" type="#_x0000_t202" style="position:absolute;margin-left:594pt;margin-top:236.95pt;width:117pt;height:54pt;z-index:251671040" strokeweight="1.25pt">
            <v:textbox style="mso-next-textbox:#_x0000_s1091">
              <w:txbxContent>
                <w:p w:rsidR="00FE25AB" w:rsidRDefault="00FE25AB">
                  <w:pPr>
                    <w:pStyle w:val="BodyText2"/>
                  </w:pPr>
                  <w:r>
                    <w:t>Stakeholder Engagement, Consultation &amp; PR</w:t>
                  </w:r>
                </w:p>
              </w:txbxContent>
            </v:textbox>
          </v:shape>
        </w:pict>
      </w:r>
      <w:r>
        <w:rPr>
          <w:noProof/>
          <w:lang w:eastAsia="en-GB"/>
        </w:rPr>
        <w:pict>
          <v:shape id="_x0000_s1092" type="#_x0000_t202" style="position:absolute;margin-left:311.25pt;margin-top:52.95pt;width:246.75pt;height:36pt;z-index:251670016" strokeweight="1.25pt">
            <v:textbox style="mso-next-textbox:#_x0000_s1092">
              <w:txbxContent>
                <w:p w:rsidR="00FE25AB" w:rsidRDefault="00FE25AB">
                  <w:pPr>
                    <w:pStyle w:val="BodyText2"/>
                  </w:pPr>
                  <w:r>
                    <w:t>Programme &amp; Project Management</w:t>
                  </w:r>
                </w:p>
              </w:txbxContent>
            </v:textbox>
          </v:shape>
        </w:pict>
      </w:r>
      <w:r>
        <w:rPr>
          <w:noProof/>
          <w:lang w:eastAsia="en-GB"/>
        </w:rPr>
        <w:pict>
          <v:shape id="_x0000_s1093" type="#_x0000_t202" style="position:absolute;margin-left:398.25pt;margin-top:299.8pt;width:70.5pt;height:37.25pt;z-index:251668992">
            <v:textbox style="mso-next-textbox:#_x0000_s1093">
              <w:txbxContent>
                <w:p w:rsidR="00FE25AB" w:rsidRDefault="00FE25AB">
                  <w:pPr>
                    <w:ind w:left="0"/>
                    <w:rPr>
                      <w:sz w:val="20"/>
                      <w:szCs w:val="20"/>
                    </w:rPr>
                  </w:pPr>
                  <w:r>
                    <w:rPr>
                      <w:sz w:val="20"/>
                      <w:szCs w:val="20"/>
                    </w:rPr>
                    <w:t>Project Manager</w:t>
                  </w:r>
                </w:p>
              </w:txbxContent>
            </v:textbox>
          </v:shape>
        </w:pict>
      </w:r>
      <w:r>
        <w:rPr>
          <w:noProof/>
          <w:lang w:eastAsia="en-GB"/>
        </w:rPr>
        <w:pict>
          <v:shape id="_x0000_s1094" type="#_x0000_t202" style="position:absolute;margin-left:259.5pt;margin-top:301.05pt;width:117pt;height:36pt;z-index:251667968">
            <v:textbox style="mso-next-textbox:#_x0000_s1094">
              <w:txbxContent>
                <w:p w:rsidR="00FE25AB" w:rsidRDefault="00FE25AB">
                  <w:pPr>
                    <w:pStyle w:val="BodyText"/>
                    <w:rPr>
                      <w:sz w:val="20"/>
                      <w:szCs w:val="20"/>
                    </w:rPr>
                  </w:pPr>
                  <w:r>
                    <w:rPr>
                      <w:sz w:val="20"/>
                      <w:szCs w:val="20"/>
                    </w:rPr>
                    <w:t>LGF Principal Transport Planner</w:t>
                  </w:r>
                </w:p>
              </w:txbxContent>
            </v:textbox>
          </v:shape>
        </w:pict>
      </w:r>
      <w:r>
        <w:rPr>
          <w:noProof/>
          <w:lang w:eastAsia="en-GB"/>
        </w:rPr>
        <w:pict>
          <v:shape id="_x0000_s1095" type="#_x0000_t202" style="position:absolute;margin-left:157.5pt;margin-top:257.3pt;width:401.25pt;height:27pt;z-index:251666944">
            <v:textbox style="mso-next-textbox:#_x0000_s1095">
              <w:txbxContent>
                <w:p w:rsidR="00FE25AB" w:rsidRDefault="00FE25AB">
                  <w:pPr>
                    <w:jc w:val="center"/>
                    <w:rPr>
                      <w:sz w:val="20"/>
                      <w:szCs w:val="20"/>
                    </w:rPr>
                  </w:pPr>
                  <w:r>
                    <w:rPr>
                      <w:sz w:val="20"/>
                      <w:szCs w:val="20"/>
                    </w:rPr>
                    <w:t>Head of Local Growth Fund Projects</w:t>
                  </w:r>
                </w:p>
              </w:txbxContent>
            </v:textbox>
          </v:shape>
        </w:pict>
      </w:r>
      <w:r>
        <w:rPr>
          <w:noProof/>
          <w:lang w:eastAsia="en-GB"/>
        </w:rPr>
        <w:pict>
          <v:line id="_x0000_s1096" style="position:absolute;z-index:251665920" from="316.5pt,265.05pt" to="316.5pt,420.45pt" strokeweight="1.5pt"/>
        </w:pict>
      </w:r>
      <w:r>
        <w:rPr>
          <w:noProof/>
          <w:lang w:eastAsia="en-GB"/>
        </w:rPr>
        <w:pict>
          <v:line id="_x0000_s1097" style="position:absolute;z-index:251664896" from="371.25pt,152.25pt" to="371.25pt,263.8pt" strokeweight="1.5pt"/>
        </w:pict>
      </w:r>
      <w:r>
        <w:rPr>
          <w:noProof/>
          <w:lang w:eastAsia="en-GB"/>
        </w:rPr>
        <w:pict>
          <v:line id="_x0000_s1098" style="position:absolute;z-index:251663872" from="7in,268.1pt" to="7in,367.5pt" strokeweight="1.5pt"/>
        </w:pict>
      </w:r>
      <w:r>
        <w:rPr>
          <w:noProof/>
          <w:lang w:eastAsia="en-GB"/>
        </w:rPr>
        <w:pict>
          <v:line id="_x0000_s1099" style="position:absolute;z-index:251662848" from="8in,268.1pt" to="8in,418.15pt" strokeweight="1.5pt"/>
        </w:pict>
      </w:r>
      <w:r>
        <w:rPr>
          <w:noProof/>
          <w:lang w:eastAsia="en-GB"/>
        </w:rPr>
        <w:pict>
          <v:line id="_x0000_s1100" style="position:absolute;flip:y;z-index:251661824" from="291pt,51.3pt" to="291pt,236.95pt">
            <v:stroke dashstyle="dash"/>
          </v:line>
        </w:pict>
      </w:r>
      <w:r>
        <w:rPr>
          <w:noProof/>
          <w:lang w:eastAsia="en-GB"/>
        </w:rPr>
        <w:pict>
          <v:line id="_x0000_s1101" style="position:absolute;z-index:251660800" from="213pt,159.9pt" to="213pt,315pt" strokeweight="1.5pt"/>
        </w:pict>
      </w:r>
      <w:r>
        <w:rPr>
          <w:noProof/>
          <w:lang w:eastAsia="en-GB"/>
        </w:rPr>
        <w:pict>
          <v:line id="_x0000_s1102" style="position:absolute;z-index:251659776" from="420pt,88.95pt" to="420pt,238.9pt">
            <v:stroke dashstyle="dash"/>
          </v:line>
        </w:pict>
      </w:r>
      <w:r>
        <w:rPr>
          <w:noProof/>
          <w:lang w:eastAsia="en-GB"/>
        </w:rPr>
        <w:pict>
          <v:line id="_x0000_s1103" style="position:absolute;flip:x;z-index:251658752" from="61.5pt,136.05pt" to="61.5pt,273.05pt" strokeweight="1.5pt"/>
        </w:pict>
      </w:r>
      <w:r>
        <w:rPr>
          <w:noProof/>
          <w:lang w:eastAsia="en-GB"/>
        </w:rPr>
        <w:pict>
          <v:line id="_x0000_s1104" style="position:absolute;flip:y;z-index:251657728" from="387pt,273.05pt" to="387pt,424.65pt" strokeweight="1.5pt"/>
        </w:pict>
      </w:r>
      <w:r>
        <w:rPr>
          <w:noProof/>
          <w:lang w:eastAsia="en-GB"/>
        </w:rPr>
        <w:pict>
          <v:line id="_x0000_s1105" style="position:absolute;flip:x;z-index:251656704" from="441pt,267.3pt" to="441pt,369.45pt" strokeweight="1.5pt"/>
        </w:pict>
      </w:r>
      <w:r>
        <w:rPr>
          <w:noProof/>
          <w:lang w:eastAsia="en-GB"/>
        </w:rPr>
        <w:pict>
          <v:line id="_x0000_s1106" style="position:absolute;z-index:251655680" from="555pt,268.1pt" to="601.5pt,268.1pt" strokeweight="1.5pt"/>
        </w:pict>
      </w:r>
      <w:r>
        <w:rPr>
          <w:noProof/>
          <w:lang w:eastAsia="en-GB"/>
        </w:rPr>
        <w:pict>
          <v:line id="_x0000_s1107" style="position:absolute;z-index:251654656" from="9in,257.3pt" to="9in,418.15pt" strokeweight="1.5pt"/>
        </w:pict>
      </w:r>
      <w:r>
        <w:rPr>
          <w:noProof/>
          <w:lang w:eastAsia="en-GB"/>
        </w:rPr>
        <w:pict>
          <v:line id="_x0000_s1108" style="position:absolute;z-index:251653632" from="495.75pt,169.1pt" to="495.75pt,268.1pt" strokeweight="1.5pt"/>
        </w:pict>
      </w:r>
      <w:r>
        <w:rPr>
          <w:noProof/>
          <w:lang w:eastAsia="en-GB"/>
        </w:rPr>
        <w:pict>
          <v:line id="_x0000_s1109" style="position:absolute;z-index:251652608" from="101.25pt,273.05pt" to="192.75pt,273.05pt" strokeweight="1.5pt"/>
        </w:pict>
      </w:r>
      <w:r>
        <w:rPr>
          <w:noProof/>
          <w:lang w:eastAsia="en-GB"/>
        </w:rPr>
        <w:pict>
          <v:line id="_x0000_s1110" style="position:absolute;z-index:251651584" from="531pt,318.75pt" to="8in,318.75pt" strokeweight="1.5pt"/>
        </w:pict>
      </w:r>
      <w:r>
        <w:rPr>
          <w:noProof/>
          <w:lang w:eastAsia="en-GB"/>
        </w:rPr>
        <w:pict>
          <v:line id="_x0000_s1111" style="position:absolute;z-index:251650560" from="531pt,418.15pt" to="8in,418.15pt" strokeweight="1.5pt"/>
        </w:pict>
      </w:r>
      <w:r>
        <w:rPr>
          <w:noProof/>
          <w:lang w:eastAsia="en-GB"/>
        </w:rPr>
        <w:pict>
          <v:line id="_x0000_s1112" style="position:absolute;z-index:251649536" from="531pt,375.3pt" to="8in,375.3pt" strokeweight="1.5pt"/>
        </w:pict>
      </w:r>
      <w:r>
        <w:rPr>
          <w:noProof/>
          <w:lang w:eastAsia="en-GB"/>
        </w:rPr>
        <w:pict>
          <v:line id="_x0000_s1113" style="position:absolute;z-index:251648512" from="545.25pt,211.5pt" to="545.25pt,273.05pt" strokeweight="1.5pt"/>
        </w:pict>
      </w:r>
      <w:r w:rsidR="00FE25AB">
        <w:t>APPENDIX B - LOCAL GROWTH FUND – GOVERNANCE ARRANGEMENTS FOR LGF PROJECTS</w:t>
      </w:r>
    </w:p>
    <w:p w:rsidR="00FE25AB" w:rsidRDefault="00FE25AB">
      <w:pPr>
        <w:pStyle w:val="SectionHeading"/>
      </w:pPr>
    </w:p>
    <w:p w:rsidR="00FE25AB" w:rsidRDefault="00FE25AB">
      <w:pPr>
        <w:pStyle w:val="SectionHeading"/>
      </w:pPr>
    </w:p>
    <w:p w:rsidR="00FE25AB" w:rsidRDefault="00FE25AB">
      <w:pPr>
        <w:pStyle w:val="SectionHeading"/>
      </w:pPr>
    </w:p>
    <w:p w:rsidR="00FE25AB" w:rsidRDefault="00FE25AB">
      <w:pPr>
        <w:pStyle w:val="SectionHeading"/>
      </w:pPr>
    </w:p>
    <w:p w:rsidR="00FE25AB" w:rsidRDefault="004D0481">
      <w:pPr>
        <w:pStyle w:val="SectionHeading"/>
      </w:pPr>
      <w:r>
        <w:rPr>
          <w:noProof/>
          <w:lang w:eastAsia="en-GB"/>
        </w:rPr>
        <w:pict>
          <v:shape id="_x0000_s1114" type="#_x0000_t202" style="position:absolute;margin-left:6.75pt;margin-top:179.3pt;width:117pt;height:48.7pt;z-index:251682304">
            <v:textbox style="mso-next-textbox:#_x0000_s1114">
              <w:txbxContent>
                <w:p w:rsidR="00FE25AB" w:rsidRDefault="00FE25AB">
                  <w:pPr>
                    <w:ind w:left="0"/>
                    <w:rPr>
                      <w:sz w:val="20"/>
                      <w:szCs w:val="20"/>
                    </w:rPr>
                  </w:pPr>
                  <w:r>
                    <w:rPr>
                      <w:sz w:val="20"/>
                      <w:szCs w:val="20"/>
                    </w:rPr>
                    <w:t>Head of Place,</w:t>
                  </w:r>
                </w:p>
                <w:p w:rsidR="00FE25AB" w:rsidRDefault="00FE25AB">
                  <w:pPr>
                    <w:ind w:left="0"/>
                    <w:rPr>
                      <w:sz w:val="20"/>
                      <w:szCs w:val="20"/>
                    </w:rPr>
                  </w:pPr>
                  <w:r>
                    <w:rPr>
                      <w:b/>
                      <w:bCs/>
                      <w:sz w:val="20"/>
                      <w:szCs w:val="20"/>
                    </w:rPr>
                    <w:t>Category Management</w:t>
                  </w:r>
                </w:p>
              </w:txbxContent>
            </v:textbox>
          </v:shape>
        </w:pict>
      </w:r>
      <w:r>
        <w:rPr>
          <w:noProof/>
          <w:lang w:eastAsia="en-GB"/>
        </w:rPr>
        <w:pict>
          <v:shape id="_x0000_s1115" type="#_x0000_t202" style="position:absolute;margin-left:428.25pt;margin-top:125.25pt;width:77.25pt;height:39.75pt;z-index:251673088">
            <v:textbox style="mso-next-textbox:#_x0000_s1115">
              <w:txbxContent>
                <w:p w:rsidR="00FE25AB" w:rsidRDefault="00FE25AB">
                  <w:pPr>
                    <w:ind w:left="0"/>
                    <w:rPr>
                      <w:sz w:val="20"/>
                      <w:szCs w:val="20"/>
                    </w:rPr>
                  </w:pPr>
                  <w:r>
                    <w:rPr>
                      <w:sz w:val="20"/>
                      <w:szCs w:val="20"/>
                    </w:rPr>
                    <w:t>Officer Project Group</w:t>
                  </w:r>
                </w:p>
              </w:txbxContent>
            </v:textbox>
          </v:shape>
        </w:pict>
      </w:r>
      <w:r>
        <w:rPr>
          <w:noProof/>
          <w:lang w:eastAsia="en-GB"/>
        </w:rPr>
        <w:pict>
          <v:shape id="_x0000_s1116" type="#_x0000_t202" style="position:absolute;margin-left:6.75pt;margin-top:275.3pt;width:240.75pt;height:50.95pt;z-index:251692544">
            <v:textbox>
              <w:txbxContent>
                <w:p w:rsidR="00FE25AB" w:rsidRDefault="00FE25AB">
                  <w:pPr>
                    <w:ind w:left="0"/>
                    <w:rPr>
                      <w:sz w:val="20"/>
                      <w:szCs w:val="20"/>
                    </w:rPr>
                  </w:pPr>
                  <w:r>
                    <w:rPr>
                      <w:sz w:val="20"/>
                      <w:szCs w:val="20"/>
                    </w:rPr>
                    <w:t>Notes:</w:t>
                  </w:r>
                </w:p>
                <w:p w:rsidR="00FE25AB" w:rsidRDefault="00FE25AB">
                  <w:pPr>
                    <w:numPr>
                      <w:ilvl w:val="0"/>
                      <w:numId w:val="9"/>
                    </w:numPr>
                    <w:rPr>
                      <w:sz w:val="20"/>
                      <w:szCs w:val="20"/>
                    </w:rPr>
                  </w:pPr>
                  <w:r>
                    <w:rPr>
                      <w:sz w:val="20"/>
                      <w:szCs w:val="20"/>
                    </w:rPr>
                    <w:t>Businesses includes town centre forums and business groups</w:t>
                  </w:r>
                </w:p>
              </w:txbxContent>
            </v:textbox>
          </v:shape>
        </w:pict>
      </w:r>
    </w:p>
    <w:p w:rsidR="00FE25AB" w:rsidRDefault="00FE25AB">
      <w:pPr>
        <w:pStyle w:val="SectionHeading"/>
        <w:sectPr w:rsidR="00FE25AB">
          <w:pgSz w:w="16838" w:h="11906" w:orient="landscape"/>
          <w:pgMar w:top="1440" w:right="1440" w:bottom="1133" w:left="1440" w:header="708" w:footer="708" w:gutter="0"/>
          <w:cols w:space="708"/>
          <w:docGrid w:linePitch="360"/>
        </w:sectPr>
      </w:pPr>
    </w:p>
    <w:p w:rsidR="00FE25AB" w:rsidRDefault="00FE25AB">
      <w:pPr>
        <w:pStyle w:val="SectionHeading"/>
      </w:pPr>
    </w:p>
    <w:sectPr w:rsidR="00FE25AB" w:rsidSect="00FE25AB">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5AB" w:rsidRDefault="00FE25AB">
      <w:r>
        <w:separator/>
      </w:r>
    </w:p>
  </w:endnote>
  <w:endnote w:type="continuationSeparator" w:id="0">
    <w:p w:rsidR="00FE25AB" w:rsidRDefault="00FE2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Gill Sans"/>
    <w:panose1 w:val="00000000000000000000"/>
    <w:charset w:val="00"/>
    <w:family w:val="swiss"/>
    <w:notTrueType/>
    <w:pitch w:val="variable"/>
    <w:sig w:usb0="00000003" w:usb1="00000000" w:usb2="00000000" w:usb3="00000000" w:csb0="00000001" w:csb1="00000000"/>
  </w:font>
  <w:font w:name="GillSans-Bold">
    <w:altName w:val="Gill Sans"/>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5AB" w:rsidRDefault="00FE25AB">
      <w:r>
        <w:separator/>
      </w:r>
    </w:p>
  </w:footnote>
  <w:footnote w:type="continuationSeparator" w:id="0">
    <w:p w:rsidR="00FE25AB" w:rsidRDefault="00FE25AB">
      <w:r>
        <w:continuationSeparator/>
      </w:r>
    </w:p>
  </w:footnote>
  <w:footnote w:id="1">
    <w:p w:rsidR="00FE25AB" w:rsidRDefault="00FE25AB">
      <w:pPr>
        <w:pStyle w:val="FootnoteText"/>
      </w:pPr>
      <w:r>
        <w:rPr>
          <w:rStyle w:val="FootnoteReference"/>
          <w:rFonts w:ascii="Arial" w:hAnsi="Arial" w:cs="Arial"/>
        </w:rPr>
        <w:footnoteRef/>
      </w:r>
      <w:r>
        <w:t xml:space="preserve"> </w:t>
      </w:r>
      <w:r>
        <w:rPr>
          <w:sz w:val="16"/>
          <w:szCs w:val="16"/>
        </w:rPr>
        <w:t>http://www.medway.gov.uk/pdf/Thames%20Gateway%20Delivery%20Plan%202009.pdf</w:t>
      </w:r>
    </w:p>
  </w:footnote>
  <w:footnote w:id="2">
    <w:p w:rsidR="00FE25AB" w:rsidRDefault="00FE25AB">
      <w:pPr>
        <w:pStyle w:val="FootnoteText"/>
      </w:pPr>
      <w:r>
        <w:rPr>
          <w:rStyle w:val="FootnoteReference"/>
          <w:rFonts w:ascii="Arial" w:hAnsi="Arial" w:cs="Arial"/>
        </w:rPr>
        <w:footnoteRef/>
      </w:r>
      <w:r>
        <w:t xml:space="preserve"> </w:t>
      </w:r>
      <w:r>
        <w:rPr>
          <w:sz w:val="16"/>
          <w:szCs w:val="16"/>
        </w:rPr>
        <w:t>http://www.medway.gov.uk/pdf/Medway%20Waterfront%20Renaissance%20Strategy%202004.pdf</w:t>
      </w:r>
    </w:p>
  </w:footnote>
  <w:footnote w:id="3">
    <w:p w:rsidR="00FE25AB" w:rsidRDefault="00FE25AB">
      <w:pPr>
        <w:pStyle w:val="FootnoteText"/>
      </w:pPr>
      <w:r>
        <w:rPr>
          <w:rStyle w:val="FootnoteReference"/>
          <w:rFonts w:ascii="Arial" w:hAnsi="Arial" w:cs="Arial"/>
        </w:rPr>
        <w:footnoteRef/>
      </w:r>
      <w:r>
        <w:t xml:space="preserve"> </w:t>
      </w:r>
      <w:r>
        <w:rPr>
          <w:sz w:val="16"/>
          <w:szCs w:val="16"/>
        </w:rPr>
        <w:t>Source: Office of the Rail Regulator</w:t>
      </w:r>
    </w:p>
  </w:footnote>
  <w:footnote w:id="4">
    <w:p w:rsidR="00FE25AB" w:rsidRDefault="00FE25AB">
      <w:pPr>
        <w:pStyle w:val="FootnoteText"/>
      </w:pPr>
      <w:r>
        <w:rPr>
          <w:rStyle w:val="FootnoteReference"/>
          <w:rFonts w:ascii="Arial" w:hAnsi="Arial" w:cs="Arial"/>
        </w:rPr>
        <w:footnoteRef/>
      </w:r>
      <w:r>
        <w:t xml:space="preserve"> </w:t>
      </w:r>
      <w:proofErr w:type="spellStart"/>
      <w:r>
        <w:rPr>
          <w:sz w:val="16"/>
          <w:szCs w:val="16"/>
        </w:rPr>
        <w:t>Strood</w:t>
      </w:r>
      <w:proofErr w:type="spellEnd"/>
      <w:r>
        <w:rPr>
          <w:sz w:val="16"/>
          <w:szCs w:val="16"/>
        </w:rPr>
        <w:t xml:space="preserve"> Station - New Station Building</w:t>
      </w:r>
    </w:p>
  </w:footnote>
  <w:footnote w:id="5">
    <w:p w:rsidR="00FE25AB" w:rsidRDefault="00FE25AB">
      <w:pPr>
        <w:pStyle w:val="FootnoteText"/>
      </w:pPr>
      <w:r>
        <w:rPr>
          <w:rStyle w:val="FootnoteReference"/>
          <w:rFonts w:ascii="Arial" w:hAnsi="Arial" w:cs="Arial"/>
        </w:rPr>
        <w:footnoteRef/>
      </w:r>
      <w:r>
        <w:t xml:space="preserve"> </w:t>
      </w:r>
      <w:r>
        <w:rPr>
          <w:sz w:val="16"/>
          <w:szCs w:val="16"/>
        </w:rPr>
        <w:t>http://www.zoopla.co.uk/house-prices/england</w:t>
      </w:r>
      <w:r>
        <w:t>/</w:t>
      </w:r>
    </w:p>
  </w:footnote>
  <w:footnote w:id="6">
    <w:p w:rsidR="00FE25AB" w:rsidRDefault="00FE25AB">
      <w:pPr>
        <w:pStyle w:val="FootnoteText"/>
      </w:pPr>
      <w:r>
        <w:rPr>
          <w:rStyle w:val="FootnoteReference"/>
          <w:rFonts w:ascii="Arial" w:hAnsi="Arial" w:cs="Arial"/>
        </w:rPr>
        <w:footnoteRef/>
      </w:r>
      <w:r>
        <w:t xml:space="preserve"> </w:t>
      </w:r>
      <w:r>
        <w:rPr>
          <w:sz w:val="16"/>
          <w:szCs w:val="16"/>
        </w:rPr>
        <w:t>http://www.medway.gov.uk/pdf/Census%20Report%20Final.pdf</w:t>
      </w:r>
    </w:p>
  </w:footnote>
  <w:footnote w:id="7">
    <w:p w:rsidR="00FE25AB" w:rsidRDefault="00FE25AB">
      <w:r>
        <w:rPr>
          <w:rStyle w:val="FootnoteReference"/>
          <w:rFonts w:ascii="Arial" w:hAnsi="Arial" w:cs="Arial"/>
          <w:sz w:val="16"/>
          <w:szCs w:val="16"/>
        </w:rPr>
        <w:footnoteRef/>
      </w:r>
      <w:r>
        <w:rPr>
          <w:sz w:val="16"/>
          <w:szCs w:val="16"/>
        </w:rPr>
        <w:t xml:space="preserve"> </w:t>
      </w:r>
      <w:hyperlink r:id="rId1">
        <w:r>
          <w:rPr>
            <w:color w:val="151513"/>
            <w:w w:val="102"/>
            <w:sz w:val="16"/>
            <w:szCs w:val="16"/>
          </w:rPr>
          <w:t>http://www.communities.qov.uk/documents/planningandbuildinq/pdf/2116950.pdf</w:t>
        </w:r>
      </w:hyperlink>
    </w:p>
  </w:footnote>
  <w:footnote w:id="8">
    <w:p w:rsidR="00FE25AB" w:rsidRDefault="00FE25AB">
      <w:r>
        <w:rPr>
          <w:rStyle w:val="FootnoteReference"/>
          <w:rFonts w:ascii="Arial" w:hAnsi="Arial" w:cs="Arial"/>
          <w:sz w:val="16"/>
          <w:szCs w:val="16"/>
        </w:rPr>
        <w:footnoteRef/>
      </w:r>
      <w:r>
        <w:rPr>
          <w:sz w:val="16"/>
          <w:szCs w:val="16"/>
        </w:rPr>
        <w:t xml:space="preserve"> </w:t>
      </w:r>
      <w:hyperlink r:id="rId2">
        <w:r>
          <w:rPr>
            <w:color w:val="151513"/>
            <w:w w:val="102"/>
            <w:position w:val="-1"/>
            <w:sz w:val="16"/>
            <w:szCs w:val="16"/>
          </w:rPr>
          <w:t>http://www.communitie</w:t>
        </w:r>
        <w:r>
          <w:rPr>
            <w:color w:val="151513"/>
            <w:spacing w:val="2"/>
            <w:w w:val="103"/>
            <w:position w:val="-1"/>
            <w:sz w:val="16"/>
            <w:szCs w:val="16"/>
          </w:rPr>
          <w:t>s</w:t>
        </w:r>
        <w:r>
          <w:rPr>
            <w:color w:val="363834"/>
            <w:spacing w:val="-5"/>
            <w:w w:val="112"/>
            <w:position w:val="-1"/>
            <w:sz w:val="16"/>
            <w:szCs w:val="16"/>
          </w:rPr>
          <w:t>.</w:t>
        </w:r>
        <w:r>
          <w:rPr>
            <w:color w:val="151513"/>
            <w:w w:val="101"/>
            <w:position w:val="-1"/>
            <w:sz w:val="16"/>
            <w:szCs w:val="16"/>
          </w:rPr>
          <w:t>qov.uk/documents/localqovernmenUpdf/179390</w:t>
        </w:r>
        <w:r>
          <w:rPr>
            <w:color w:val="151513"/>
            <w:w w:val="102"/>
            <w:position w:val="-1"/>
            <w:sz w:val="16"/>
            <w:szCs w:val="16"/>
          </w:rPr>
          <w:t>8</w:t>
        </w:r>
        <w:r>
          <w:rPr>
            <w:color w:val="363834"/>
            <w:spacing w:val="3"/>
            <w:w w:val="84"/>
            <w:position w:val="-1"/>
            <w:sz w:val="16"/>
            <w:szCs w:val="16"/>
          </w:rPr>
          <w:t>.</w:t>
        </w:r>
        <w:r>
          <w:rPr>
            <w:color w:val="151513"/>
            <w:w w:val="99"/>
            <w:position w:val="-1"/>
            <w:sz w:val="16"/>
            <w:szCs w:val="16"/>
          </w:rPr>
          <w:t>pdf</w:t>
        </w:r>
      </w:hyperlink>
    </w:p>
  </w:footnote>
  <w:footnote w:id="9">
    <w:p w:rsidR="00FE25AB" w:rsidRDefault="00FE25AB">
      <w:pPr>
        <w:pStyle w:val="FootnoteText"/>
      </w:pPr>
      <w:r>
        <w:rPr>
          <w:rStyle w:val="FootnoteReference"/>
          <w:rFonts w:ascii="Arial" w:hAnsi="Arial" w:cs="Arial"/>
          <w:sz w:val="16"/>
          <w:szCs w:val="16"/>
        </w:rPr>
        <w:footnoteRef/>
      </w:r>
      <w:r>
        <w:rPr>
          <w:sz w:val="16"/>
          <w:szCs w:val="16"/>
        </w:rPr>
        <w:t xml:space="preserve"> </w:t>
      </w:r>
      <w:r>
        <w:rPr>
          <w:color w:val="151513"/>
          <w:position w:val="-1"/>
          <w:sz w:val="16"/>
          <w:szCs w:val="16"/>
        </w:rPr>
        <w:t>Business</w:t>
      </w:r>
      <w:r>
        <w:rPr>
          <w:color w:val="151513"/>
          <w:spacing w:val="23"/>
          <w:position w:val="-1"/>
          <w:sz w:val="16"/>
          <w:szCs w:val="16"/>
        </w:rPr>
        <w:t xml:space="preserve"> </w:t>
      </w:r>
      <w:r>
        <w:rPr>
          <w:color w:val="151513"/>
          <w:position w:val="-1"/>
          <w:sz w:val="16"/>
          <w:szCs w:val="16"/>
        </w:rPr>
        <w:t>Plan</w:t>
      </w:r>
      <w:r>
        <w:rPr>
          <w:color w:val="151513"/>
          <w:spacing w:val="14"/>
          <w:position w:val="-1"/>
          <w:sz w:val="16"/>
          <w:szCs w:val="16"/>
        </w:rPr>
        <w:t xml:space="preserve"> </w:t>
      </w:r>
      <w:r>
        <w:rPr>
          <w:color w:val="151513"/>
          <w:position w:val="-1"/>
          <w:sz w:val="16"/>
          <w:szCs w:val="16"/>
        </w:rPr>
        <w:t>201</w:t>
      </w:r>
      <w:r>
        <w:rPr>
          <w:color w:val="151513"/>
          <w:spacing w:val="-9"/>
          <w:position w:val="-1"/>
          <w:sz w:val="16"/>
          <w:szCs w:val="16"/>
        </w:rPr>
        <w:t>3</w:t>
      </w:r>
      <w:r>
        <w:rPr>
          <w:color w:val="363834"/>
          <w:spacing w:val="-6"/>
          <w:position w:val="-1"/>
          <w:sz w:val="16"/>
          <w:szCs w:val="16"/>
        </w:rPr>
        <w:t>-</w:t>
      </w:r>
      <w:r>
        <w:rPr>
          <w:color w:val="151513"/>
          <w:position w:val="-1"/>
          <w:sz w:val="16"/>
          <w:szCs w:val="16"/>
        </w:rPr>
        <w:t>15</w:t>
      </w:r>
      <w:r>
        <w:rPr>
          <w:color w:val="151513"/>
          <w:spacing w:val="28"/>
          <w:position w:val="-1"/>
          <w:sz w:val="16"/>
          <w:szCs w:val="16"/>
        </w:rPr>
        <w:t xml:space="preserve"> </w:t>
      </w:r>
      <w:hyperlink r:id="rId3">
        <w:r>
          <w:rPr>
            <w:color w:val="151513"/>
            <w:w w:val="101"/>
            <w:position w:val="-1"/>
            <w:sz w:val="16"/>
            <w:szCs w:val="16"/>
          </w:rPr>
          <w:t>http://transparency.number</w:t>
        </w:r>
        <w:r>
          <w:rPr>
            <w:color w:val="151513"/>
            <w:spacing w:val="-5"/>
            <w:w w:val="102"/>
            <w:position w:val="-1"/>
            <w:sz w:val="16"/>
            <w:szCs w:val="16"/>
          </w:rPr>
          <w:t>1</w:t>
        </w:r>
        <w:r>
          <w:rPr>
            <w:color w:val="151513"/>
            <w:position w:val="-1"/>
            <w:sz w:val="16"/>
            <w:szCs w:val="16"/>
          </w:rPr>
          <w:t>O.gov.uk/business-plan/11</w:t>
        </w:r>
      </w:hyperlink>
    </w:p>
  </w:footnote>
  <w:footnote w:id="10">
    <w:p w:rsidR="00FE25AB" w:rsidRDefault="00FE25AB">
      <w:pPr>
        <w:pStyle w:val="FootnoteText"/>
      </w:pPr>
      <w:r>
        <w:rPr>
          <w:rStyle w:val="FootnoteReference"/>
          <w:rFonts w:ascii="Arial" w:hAnsi="Arial" w:cs="Arial"/>
        </w:rPr>
        <w:footnoteRef/>
      </w:r>
      <w:r>
        <w:t xml:space="preserve"> </w:t>
      </w:r>
      <w:hyperlink r:id="rId4" w:history="1">
        <w:r>
          <w:rPr>
            <w:rStyle w:val="Hyperlink"/>
            <w:rFonts w:ascii="Arial" w:hAnsi="Arial" w:cs="Arial"/>
            <w:sz w:val="18"/>
            <w:szCs w:val="18"/>
          </w:rPr>
          <w:t>http://www.scoot-utc.com/GeneralResults.php? menu=Results</w:t>
        </w:r>
      </w:hyperlink>
    </w:p>
  </w:footnote>
  <w:footnote w:id="11">
    <w:p w:rsidR="00FE25AB" w:rsidRDefault="00FE25AB">
      <w:pPr>
        <w:rPr>
          <w:b/>
          <w:bCs/>
          <w:sz w:val="16"/>
          <w:szCs w:val="16"/>
        </w:rPr>
      </w:pPr>
      <w:r>
        <w:rPr>
          <w:rStyle w:val="FootnoteReference"/>
          <w:rFonts w:ascii="Arial" w:hAnsi="Arial" w:cs="Arial"/>
        </w:rPr>
        <w:footnoteRef/>
      </w:r>
      <w:r>
        <w:t xml:space="preserve"> </w:t>
      </w:r>
      <w:r>
        <w:rPr>
          <w:sz w:val="16"/>
          <w:szCs w:val="16"/>
        </w:rPr>
        <w:t>https://www.gov.uk/government/uploads/system/uploads/attachment_data/file/386743/TAG_Unit_A4.1_-_Social_Impact_Appraisal_November2014.pdf</w:t>
      </w:r>
    </w:p>
    <w:p w:rsidR="00FE25AB" w:rsidRDefault="00FE25AB"/>
  </w:footnote>
  <w:footnote w:id="12">
    <w:p w:rsidR="00FE25AB" w:rsidRDefault="00FE25AB">
      <w:r>
        <w:rPr>
          <w:rStyle w:val="FootnoteReference"/>
          <w:rFonts w:ascii="Arial" w:hAnsi="Arial" w:cs="Arial"/>
        </w:rPr>
        <w:footnoteRef/>
      </w:r>
      <w:r>
        <w:t xml:space="preserve"> </w:t>
      </w:r>
      <w:r>
        <w:rPr>
          <w:sz w:val="16"/>
          <w:szCs w:val="16"/>
        </w:rPr>
        <w:t>Transportation Research Laboratory, Delft University of Technology</w:t>
      </w:r>
    </w:p>
    <w:p w:rsidR="00FE25AB" w:rsidRDefault="00FE25AB"/>
  </w:footnote>
  <w:footnote w:id="13">
    <w:p w:rsidR="00FE25AB" w:rsidRDefault="00FE25AB">
      <w:pPr>
        <w:pStyle w:val="FootnoteText"/>
      </w:pPr>
      <w:r>
        <w:rPr>
          <w:rStyle w:val="FootnoteReference"/>
          <w:rFonts w:ascii="Arial" w:hAnsi="Arial" w:cs="Arial"/>
        </w:rPr>
        <w:footnoteRef/>
      </w:r>
      <w:r>
        <w:t xml:space="preserve"> </w:t>
      </w:r>
      <w:hyperlink r:id="rId5" w:history="1">
        <w:r>
          <w:rPr>
            <w:rStyle w:val="Hyperlink"/>
            <w:rFonts w:ascii="Arial" w:hAnsi="Arial" w:cs="Arial"/>
            <w:b/>
            <w:bCs/>
            <w:sz w:val="16"/>
            <w:szCs w:val="16"/>
          </w:rPr>
          <w:t>https://www.gov.uk/government/uploads/system/uploads/attachment_data/file/348943/vfm-assessment-of-cycling-grants.pdf</w:t>
        </w:r>
      </w:hyperlink>
    </w:p>
  </w:footnote>
  <w:footnote w:id="14">
    <w:p w:rsidR="00FE25AB" w:rsidRDefault="00FE25AB">
      <w:pPr>
        <w:pStyle w:val="FootnoteText"/>
      </w:pPr>
      <w:r>
        <w:rPr>
          <w:rStyle w:val="FootnoteReference"/>
          <w:rFonts w:ascii="Arial" w:hAnsi="Arial" w:cs="Arial"/>
          <w:sz w:val="18"/>
          <w:szCs w:val="18"/>
        </w:rPr>
        <w:footnoteRef/>
      </w:r>
      <w:r>
        <w:rPr>
          <w:sz w:val="18"/>
          <w:szCs w:val="18"/>
        </w:rPr>
        <w:t xml:space="preserve"> Sum of construction costs for proposed new surfacing, street furniture and cycle infrastructure </w:t>
      </w:r>
    </w:p>
  </w:footnote>
  <w:footnote w:id="15">
    <w:p w:rsidR="00FE25AB" w:rsidRDefault="00FE25AB">
      <w:pPr>
        <w:pStyle w:val="FootnoteText"/>
      </w:pPr>
      <w:r>
        <w:rPr>
          <w:rStyle w:val="FootnoteReference"/>
          <w:rFonts w:ascii="Arial" w:hAnsi="Arial" w:cs="Arial"/>
        </w:rPr>
        <w:footnoteRef/>
      </w:r>
      <w:r>
        <w:t xml:space="preserve"> </w:t>
      </w:r>
      <w:r>
        <w:rPr>
          <w:sz w:val="18"/>
          <w:szCs w:val="18"/>
        </w:rPr>
        <w:t>Assumed rate for annual maintenance costs for new urban realm and cycle facilities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FAF"/>
    <w:multiLevelType w:val="hybridMultilevel"/>
    <w:tmpl w:val="1A2671D2"/>
    <w:lvl w:ilvl="0" w:tplc="0809000F">
      <w:start w:val="1"/>
      <w:numFmt w:val="decimal"/>
      <w:lvlText w:val="%1."/>
      <w:lvlJc w:val="left"/>
      <w:pPr>
        <w:ind w:left="1440" w:hanging="360"/>
      </w:pPr>
      <w:rPr>
        <w:rFonts w:ascii="Times New Roman" w:hAnsi="Times New Roman" w:cs="Times New Roman"/>
      </w:rPr>
    </w:lvl>
    <w:lvl w:ilvl="1" w:tplc="08090019">
      <w:start w:val="1"/>
      <w:numFmt w:val="lowerLetter"/>
      <w:lvlText w:val="%2."/>
      <w:lvlJc w:val="left"/>
      <w:pPr>
        <w:ind w:left="2160" w:hanging="360"/>
      </w:pPr>
      <w:rPr>
        <w:rFonts w:ascii="Times New Roman" w:hAnsi="Times New Roman" w:cs="Times New Roman"/>
      </w:rPr>
    </w:lvl>
    <w:lvl w:ilvl="2" w:tplc="0809001B">
      <w:start w:val="1"/>
      <w:numFmt w:val="lowerRoman"/>
      <w:lvlText w:val="%3."/>
      <w:lvlJc w:val="right"/>
      <w:pPr>
        <w:ind w:left="2880" w:hanging="180"/>
      </w:pPr>
      <w:rPr>
        <w:rFonts w:ascii="Times New Roman" w:hAnsi="Times New Roman" w:cs="Times New Roman"/>
      </w:rPr>
    </w:lvl>
    <w:lvl w:ilvl="3" w:tplc="0809000F">
      <w:start w:val="1"/>
      <w:numFmt w:val="decimal"/>
      <w:lvlText w:val="%4."/>
      <w:lvlJc w:val="left"/>
      <w:pPr>
        <w:ind w:left="3600" w:hanging="360"/>
      </w:pPr>
      <w:rPr>
        <w:rFonts w:ascii="Times New Roman" w:hAnsi="Times New Roman" w:cs="Times New Roman"/>
      </w:rPr>
    </w:lvl>
    <w:lvl w:ilvl="4" w:tplc="08090019">
      <w:start w:val="1"/>
      <w:numFmt w:val="lowerLetter"/>
      <w:lvlText w:val="%5."/>
      <w:lvlJc w:val="left"/>
      <w:pPr>
        <w:ind w:left="4320" w:hanging="360"/>
      </w:pPr>
      <w:rPr>
        <w:rFonts w:ascii="Times New Roman" w:hAnsi="Times New Roman" w:cs="Times New Roman"/>
      </w:rPr>
    </w:lvl>
    <w:lvl w:ilvl="5" w:tplc="0809001B">
      <w:start w:val="1"/>
      <w:numFmt w:val="lowerRoman"/>
      <w:lvlText w:val="%6."/>
      <w:lvlJc w:val="right"/>
      <w:pPr>
        <w:ind w:left="5040" w:hanging="180"/>
      </w:pPr>
      <w:rPr>
        <w:rFonts w:ascii="Times New Roman" w:hAnsi="Times New Roman" w:cs="Times New Roman"/>
      </w:rPr>
    </w:lvl>
    <w:lvl w:ilvl="6" w:tplc="0809000F">
      <w:start w:val="1"/>
      <w:numFmt w:val="decimal"/>
      <w:lvlText w:val="%7."/>
      <w:lvlJc w:val="left"/>
      <w:pPr>
        <w:ind w:left="5760" w:hanging="360"/>
      </w:pPr>
      <w:rPr>
        <w:rFonts w:ascii="Times New Roman" w:hAnsi="Times New Roman" w:cs="Times New Roman"/>
      </w:rPr>
    </w:lvl>
    <w:lvl w:ilvl="7" w:tplc="08090019">
      <w:start w:val="1"/>
      <w:numFmt w:val="lowerLetter"/>
      <w:lvlText w:val="%8."/>
      <w:lvlJc w:val="left"/>
      <w:pPr>
        <w:ind w:left="6480" w:hanging="360"/>
      </w:pPr>
      <w:rPr>
        <w:rFonts w:ascii="Times New Roman" w:hAnsi="Times New Roman" w:cs="Times New Roman"/>
      </w:rPr>
    </w:lvl>
    <w:lvl w:ilvl="8" w:tplc="0809001B">
      <w:start w:val="1"/>
      <w:numFmt w:val="lowerRoman"/>
      <w:lvlText w:val="%9."/>
      <w:lvlJc w:val="right"/>
      <w:pPr>
        <w:ind w:left="7200" w:hanging="180"/>
      </w:pPr>
      <w:rPr>
        <w:rFonts w:ascii="Times New Roman" w:hAnsi="Times New Roman" w:cs="Times New Roman"/>
      </w:rPr>
    </w:lvl>
  </w:abstractNum>
  <w:abstractNum w:abstractNumId="1">
    <w:nsid w:val="01011F24"/>
    <w:multiLevelType w:val="hybridMultilevel"/>
    <w:tmpl w:val="9B4A03E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5693E2F"/>
    <w:multiLevelType w:val="hybridMultilevel"/>
    <w:tmpl w:val="BA5C06C2"/>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3">
    <w:nsid w:val="11B62845"/>
    <w:multiLevelType w:val="hybridMultilevel"/>
    <w:tmpl w:val="3F609E4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4">
    <w:nsid w:val="11C91019"/>
    <w:multiLevelType w:val="hybridMultilevel"/>
    <w:tmpl w:val="B6CAEF12"/>
    <w:lvl w:ilvl="0" w:tplc="0809000B">
      <w:start w:val="1"/>
      <w:numFmt w:val="bullet"/>
      <w:lvlText w:val=""/>
      <w:lvlJc w:val="left"/>
      <w:pPr>
        <w:ind w:left="1440" w:hanging="360"/>
      </w:pPr>
      <w:rPr>
        <w:rFonts w:ascii="Wingdings" w:hAnsi="Wingdings" w:cs="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5">
    <w:nsid w:val="13FE3BEA"/>
    <w:multiLevelType w:val="hybridMultilevel"/>
    <w:tmpl w:val="6DEA018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17C33642"/>
    <w:multiLevelType w:val="hybridMultilevel"/>
    <w:tmpl w:val="9EFA687C"/>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7">
    <w:nsid w:val="1D76013A"/>
    <w:multiLevelType w:val="hybridMultilevel"/>
    <w:tmpl w:val="67A6CACE"/>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8">
    <w:nsid w:val="1DE8788D"/>
    <w:multiLevelType w:val="hybridMultilevel"/>
    <w:tmpl w:val="324AD1A2"/>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9">
    <w:nsid w:val="22891193"/>
    <w:multiLevelType w:val="hybridMultilevel"/>
    <w:tmpl w:val="AF3E92C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
    <w:nsid w:val="26CB6DD1"/>
    <w:multiLevelType w:val="hybridMultilevel"/>
    <w:tmpl w:val="18D4E74C"/>
    <w:lvl w:ilvl="0" w:tplc="02943962">
      <w:start w:val="1"/>
      <w:numFmt w:val="bullet"/>
      <w:pStyle w:val="NoSpacing"/>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1">
    <w:nsid w:val="37A2034B"/>
    <w:multiLevelType w:val="hybridMultilevel"/>
    <w:tmpl w:val="B6CAEF12"/>
    <w:lvl w:ilvl="0" w:tplc="04090001">
      <w:start w:val="1"/>
      <w:numFmt w:val="bullet"/>
      <w:lvlText w:val=""/>
      <w:lvlJc w:val="left"/>
      <w:pPr>
        <w:tabs>
          <w:tab w:val="num" w:pos="1440"/>
        </w:tabs>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2">
    <w:nsid w:val="394718A0"/>
    <w:multiLevelType w:val="hybridMultilevel"/>
    <w:tmpl w:val="DDEEA5E4"/>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3">
    <w:nsid w:val="40E24FC5"/>
    <w:multiLevelType w:val="hybridMultilevel"/>
    <w:tmpl w:val="149052BC"/>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4">
    <w:nsid w:val="47F00393"/>
    <w:multiLevelType w:val="hybridMultilevel"/>
    <w:tmpl w:val="916A12FA"/>
    <w:lvl w:ilvl="0" w:tplc="5C2ED2FE">
      <w:start w:val="1"/>
      <w:numFmt w:val="bullet"/>
      <w:lvlText w:val=""/>
      <w:lvlJc w:val="left"/>
      <w:pPr>
        <w:tabs>
          <w:tab w:val="num" w:pos="720"/>
        </w:tabs>
        <w:ind w:left="720" w:hanging="360"/>
      </w:pPr>
      <w:rPr>
        <w:rFonts w:ascii="Symbol" w:hAnsi="Symbol" w:cs="Symbol" w:hint="default"/>
        <w:sz w:val="20"/>
        <w:szCs w:val="20"/>
      </w:rPr>
    </w:lvl>
    <w:lvl w:ilvl="1" w:tplc="DD4658CA">
      <w:start w:val="1"/>
      <w:numFmt w:val="bullet"/>
      <w:lvlText w:val="o"/>
      <w:lvlJc w:val="left"/>
      <w:pPr>
        <w:tabs>
          <w:tab w:val="num" w:pos="1440"/>
        </w:tabs>
        <w:ind w:left="1440" w:hanging="360"/>
      </w:pPr>
      <w:rPr>
        <w:rFonts w:ascii="Courier New" w:hAnsi="Courier New" w:cs="Courier New" w:hint="default"/>
        <w:sz w:val="20"/>
        <w:szCs w:val="20"/>
      </w:rPr>
    </w:lvl>
    <w:lvl w:ilvl="2" w:tplc="A8740B18">
      <w:start w:val="1"/>
      <w:numFmt w:val="bullet"/>
      <w:lvlText w:val=""/>
      <w:lvlJc w:val="left"/>
      <w:pPr>
        <w:tabs>
          <w:tab w:val="num" w:pos="2160"/>
        </w:tabs>
        <w:ind w:left="2160" w:hanging="360"/>
      </w:pPr>
      <w:rPr>
        <w:rFonts w:ascii="Wingdings" w:hAnsi="Wingdings" w:cs="Wingdings" w:hint="default"/>
        <w:sz w:val="20"/>
        <w:szCs w:val="20"/>
      </w:rPr>
    </w:lvl>
    <w:lvl w:ilvl="3" w:tplc="045C8C4C">
      <w:start w:val="1"/>
      <w:numFmt w:val="bullet"/>
      <w:lvlText w:val=""/>
      <w:lvlJc w:val="left"/>
      <w:pPr>
        <w:tabs>
          <w:tab w:val="num" w:pos="2880"/>
        </w:tabs>
        <w:ind w:left="2880" w:hanging="360"/>
      </w:pPr>
      <w:rPr>
        <w:rFonts w:ascii="Wingdings" w:hAnsi="Wingdings" w:cs="Wingdings" w:hint="default"/>
        <w:sz w:val="20"/>
        <w:szCs w:val="20"/>
      </w:rPr>
    </w:lvl>
    <w:lvl w:ilvl="4" w:tplc="DFBE0FD4">
      <w:start w:val="1"/>
      <w:numFmt w:val="bullet"/>
      <w:lvlText w:val=""/>
      <w:lvlJc w:val="left"/>
      <w:pPr>
        <w:tabs>
          <w:tab w:val="num" w:pos="3600"/>
        </w:tabs>
        <w:ind w:left="3600" w:hanging="360"/>
      </w:pPr>
      <w:rPr>
        <w:rFonts w:ascii="Wingdings" w:hAnsi="Wingdings" w:cs="Wingdings" w:hint="default"/>
        <w:sz w:val="20"/>
        <w:szCs w:val="20"/>
      </w:rPr>
    </w:lvl>
    <w:lvl w:ilvl="5" w:tplc="9EEEB40C">
      <w:start w:val="1"/>
      <w:numFmt w:val="bullet"/>
      <w:lvlText w:val=""/>
      <w:lvlJc w:val="left"/>
      <w:pPr>
        <w:tabs>
          <w:tab w:val="num" w:pos="4320"/>
        </w:tabs>
        <w:ind w:left="4320" w:hanging="360"/>
      </w:pPr>
      <w:rPr>
        <w:rFonts w:ascii="Wingdings" w:hAnsi="Wingdings" w:cs="Wingdings" w:hint="default"/>
        <w:sz w:val="20"/>
        <w:szCs w:val="20"/>
      </w:rPr>
    </w:lvl>
    <w:lvl w:ilvl="6" w:tplc="BD3C37FE">
      <w:start w:val="1"/>
      <w:numFmt w:val="bullet"/>
      <w:lvlText w:val=""/>
      <w:lvlJc w:val="left"/>
      <w:pPr>
        <w:tabs>
          <w:tab w:val="num" w:pos="5040"/>
        </w:tabs>
        <w:ind w:left="5040" w:hanging="360"/>
      </w:pPr>
      <w:rPr>
        <w:rFonts w:ascii="Wingdings" w:hAnsi="Wingdings" w:cs="Wingdings" w:hint="default"/>
        <w:sz w:val="20"/>
        <w:szCs w:val="20"/>
      </w:rPr>
    </w:lvl>
    <w:lvl w:ilvl="7" w:tplc="75D2654A">
      <w:start w:val="1"/>
      <w:numFmt w:val="bullet"/>
      <w:lvlText w:val=""/>
      <w:lvlJc w:val="left"/>
      <w:pPr>
        <w:tabs>
          <w:tab w:val="num" w:pos="5760"/>
        </w:tabs>
        <w:ind w:left="5760" w:hanging="360"/>
      </w:pPr>
      <w:rPr>
        <w:rFonts w:ascii="Wingdings" w:hAnsi="Wingdings" w:cs="Wingdings" w:hint="default"/>
        <w:sz w:val="20"/>
        <w:szCs w:val="20"/>
      </w:rPr>
    </w:lvl>
    <w:lvl w:ilvl="8" w:tplc="613CB322">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48F94C31"/>
    <w:multiLevelType w:val="hybridMultilevel"/>
    <w:tmpl w:val="BE508E6A"/>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6">
    <w:nsid w:val="51E3440C"/>
    <w:multiLevelType w:val="hybridMultilevel"/>
    <w:tmpl w:val="79CE553C"/>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7">
    <w:nsid w:val="55C36804"/>
    <w:multiLevelType w:val="hybridMultilevel"/>
    <w:tmpl w:val="B6CAEF12"/>
    <w:lvl w:ilvl="0" w:tplc="04090001">
      <w:start w:val="1"/>
      <w:numFmt w:val="bullet"/>
      <w:lvlText w:val=""/>
      <w:lvlJc w:val="left"/>
      <w:pPr>
        <w:tabs>
          <w:tab w:val="num" w:pos="1440"/>
        </w:tabs>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8">
    <w:nsid w:val="592075D7"/>
    <w:multiLevelType w:val="hybridMultilevel"/>
    <w:tmpl w:val="F2543D10"/>
    <w:lvl w:ilvl="0" w:tplc="0809000F">
      <w:start w:val="1"/>
      <w:numFmt w:val="decimal"/>
      <w:lvlText w:val="%1."/>
      <w:lvlJc w:val="left"/>
      <w:pPr>
        <w:ind w:left="1440" w:hanging="360"/>
      </w:pPr>
      <w:rPr>
        <w:rFonts w:ascii="Times New Roman" w:hAnsi="Times New Roman" w:cs="Times New Roman"/>
      </w:rPr>
    </w:lvl>
    <w:lvl w:ilvl="1" w:tplc="08090019">
      <w:start w:val="1"/>
      <w:numFmt w:val="lowerLetter"/>
      <w:lvlText w:val="%2."/>
      <w:lvlJc w:val="left"/>
      <w:pPr>
        <w:ind w:left="2160" w:hanging="360"/>
      </w:pPr>
      <w:rPr>
        <w:rFonts w:ascii="Times New Roman" w:hAnsi="Times New Roman" w:cs="Times New Roman"/>
      </w:rPr>
    </w:lvl>
    <w:lvl w:ilvl="2" w:tplc="0809001B">
      <w:start w:val="1"/>
      <w:numFmt w:val="lowerRoman"/>
      <w:lvlText w:val="%3."/>
      <w:lvlJc w:val="right"/>
      <w:pPr>
        <w:ind w:left="2880" w:hanging="180"/>
      </w:pPr>
      <w:rPr>
        <w:rFonts w:ascii="Times New Roman" w:hAnsi="Times New Roman" w:cs="Times New Roman"/>
      </w:rPr>
    </w:lvl>
    <w:lvl w:ilvl="3" w:tplc="0809000F">
      <w:start w:val="1"/>
      <w:numFmt w:val="decimal"/>
      <w:lvlText w:val="%4."/>
      <w:lvlJc w:val="left"/>
      <w:pPr>
        <w:ind w:left="3600" w:hanging="360"/>
      </w:pPr>
      <w:rPr>
        <w:rFonts w:ascii="Times New Roman" w:hAnsi="Times New Roman" w:cs="Times New Roman"/>
      </w:rPr>
    </w:lvl>
    <w:lvl w:ilvl="4" w:tplc="08090019">
      <w:start w:val="1"/>
      <w:numFmt w:val="lowerLetter"/>
      <w:lvlText w:val="%5."/>
      <w:lvlJc w:val="left"/>
      <w:pPr>
        <w:ind w:left="4320" w:hanging="360"/>
      </w:pPr>
      <w:rPr>
        <w:rFonts w:ascii="Times New Roman" w:hAnsi="Times New Roman" w:cs="Times New Roman"/>
      </w:rPr>
    </w:lvl>
    <w:lvl w:ilvl="5" w:tplc="0809001B">
      <w:start w:val="1"/>
      <w:numFmt w:val="lowerRoman"/>
      <w:lvlText w:val="%6."/>
      <w:lvlJc w:val="right"/>
      <w:pPr>
        <w:ind w:left="5040" w:hanging="180"/>
      </w:pPr>
      <w:rPr>
        <w:rFonts w:ascii="Times New Roman" w:hAnsi="Times New Roman" w:cs="Times New Roman"/>
      </w:rPr>
    </w:lvl>
    <w:lvl w:ilvl="6" w:tplc="0809000F">
      <w:start w:val="1"/>
      <w:numFmt w:val="decimal"/>
      <w:lvlText w:val="%7."/>
      <w:lvlJc w:val="left"/>
      <w:pPr>
        <w:ind w:left="5760" w:hanging="360"/>
      </w:pPr>
      <w:rPr>
        <w:rFonts w:ascii="Times New Roman" w:hAnsi="Times New Roman" w:cs="Times New Roman"/>
      </w:rPr>
    </w:lvl>
    <w:lvl w:ilvl="7" w:tplc="08090019">
      <w:start w:val="1"/>
      <w:numFmt w:val="lowerLetter"/>
      <w:lvlText w:val="%8."/>
      <w:lvlJc w:val="left"/>
      <w:pPr>
        <w:ind w:left="6480" w:hanging="360"/>
      </w:pPr>
      <w:rPr>
        <w:rFonts w:ascii="Times New Roman" w:hAnsi="Times New Roman" w:cs="Times New Roman"/>
      </w:rPr>
    </w:lvl>
    <w:lvl w:ilvl="8" w:tplc="0809001B">
      <w:start w:val="1"/>
      <w:numFmt w:val="lowerRoman"/>
      <w:lvlText w:val="%9."/>
      <w:lvlJc w:val="right"/>
      <w:pPr>
        <w:ind w:left="7200" w:hanging="180"/>
      </w:pPr>
      <w:rPr>
        <w:rFonts w:ascii="Times New Roman" w:hAnsi="Times New Roman" w:cs="Times New Roman"/>
      </w:rPr>
    </w:lvl>
  </w:abstractNum>
  <w:abstractNum w:abstractNumId="19">
    <w:nsid w:val="60ED20E0"/>
    <w:multiLevelType w:val="hybridMultilevel"/>
    <w:tmpl w:val="BB8C604E"/>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20">
    <w:nsid w:val="67C1129F"/>
    <w:multiLevelType w:val="hybridMultilevel"/>
    <w:tmpl w:val="2FB24FA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1">
    <w:nsid w:val="6E1B4C5C"/>
    <w:multiLevelType w:val="hybridMultilevel"/>
    <w:tmpl w:val="41F6F73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2">
    <w:nsid w:val="708E42D0"/>
    <w:multiLevelType w:val="hybridMultilevel"/>
    <w:tmpl w:val="B04C04C2"/>
    <w:lvl w:ilvl="0" w:tplc="0809000F">
      <w:start w:val="1"/>
      <w:numFmt w:val="decimal"/>
      <w:lvlText w:val="%1."/>
      <w:lvlJc w:val="left"/>
      <w:pPr>
        <w:ind w:left="1440" w:hanging="360"/>
      </w:pPr>
      <w:rPr>
        <w:rFonts w:ascii="Times New Roman" w:hAnsi="Times New Roman" w:cs="Times New Roman"/>
      </w:rPr>
    </w:lvl>
    <w:lvl w:ilvl="1" w:tplc="08090019">
      <w:start w:val="1"/>
      <w:numFmt w:val="lowerLetter"/>
      <w:lvlText w:val="%2."/>
      <w:lvlJc w:val="left"/>
      <w:pPr>
        <w:ind w:left="2160" w:hanging="360"/>
      </w:pPr>
      <w:rPr>
        <w:rFonts w:ascii="Times New Roman" w:hAnsi="Times New Roman" w:cs="Times New Roman"/>
      </w:rPr>
    </w:lvl>
    <w:lvl w:ilvl="2" w:tplc="0809001B">
      <w:start w:val="1"/>
      <w:numFmt w:val="lowerRoman"/>
      <w:lvlText w:val="%3."/>
      <w:lvlJc w:val="right"/>
      <w:pPr>
        <w:ind w:left="2880" w:hanging="180"/>
      </w:pPr>
      <w:rPr>
        <w:rFonts w:ascii="Times New Roman" w:hAnsi="Times New Roman" w:cs="Times New Roman"/>
      </w:rPr>
    </w:lvl>
    <w:lvl w:ilvl="3" w:tplc="0809000F">
      <w:start w:val="1"/>
      <w:numFmt w:val="decimal"/>
      <w:lvlText w:val="%4."/>
      <w:lvlJc w:val="left"/>
      <w:pPr>
        <w:ind w:left="3600" w:hanging="360"/>
      </w:pPr>
      <w:rPr>
        <w:rFonts w:ascii="Times New Roman" w:hAnsi="Times New Roman" w:cs="Times New Roman"/>
      </w:rPr>
    </w:lvl>
    <w:lvl w:ilvl="4" w:tplc="08090019">
      <w:start w:val="1"/>
      <w:numFmt w:val="lowerLetter"/>
      <w:lvlText w:val="%5."/>
      <w:lvlJc w:val="left"/>
      <w:pPr>
        <w:ind w:left="4320" w:hanging="360"/>
      </w:pPr>
      <w:rPr>
        <w:rFonts w:ascii="Times New Roman" w:hAnsi="Times New Roman" w:cs="Times New Roman"/>
      </w:rPr>
    </w:lvl>
    <w:lvl w:ilvl="5" w:tplc="0809001B">
      <w:start w:val="1"/>
      <w:numFmt w:val="lowerRoman"/>
      <w:lvlText w:val="%6."/>
      <w:lvlJc w:val="right"/>
      <w:pPr>
        <w:ind w:left="5040" w:hanging="180"/>
      </w:pPr>
      <w:rPr>
        <w:rFonts w:ascii="Times New Roman" w:hAnsi="Times New Roman" w:cs="Times New Roman"/>
      </w:rPr>
    </w:lvl>
    <w:lvl w:ilvl="6" w:tplc="0809000F">
      <w:start w:val="1"/>
      <w:numFmt w:val="decimal"/>
      <w:lvlText w:val="%7."/>
      <w:lvlJc w:val="left"/>
      <w:pPr>
        <w:ind w:left="5760" w:hanging="360"/>
      </w:pPr>
      <w:rPr>
        <w:rFonts w:ascii="Times New Roman" w:hAnsi="Times New Roman" w:cs="Times New Roman"/>
      </w:rPr>
    </w:lvl>
    <w:lvl w:ilvl="7" w:tplc="08090019">
      <w:start w:val="1"/>
      <w:numFmt w:val="lowerLetter"/>
      <w:lvlText w:val="%8."/>
      <w:lvlJc w:val="left"/>
      <w:pPr>
        <w:ind w:left="6480" w:hanging="360"/>
      </w:pPr>
      <w:rPr>
        <w:rFonts w:ascii="Times New Roman" w:hAnsi="Times New Roman" w:cs="Times New Roman"/>
      </w:rPr>
    </w:lvl>
    <w:lvl w:ilvl="8" w:tplc="0809001B">
      <w:start w:val="1"/>
      <w:numFmt w:val="lowerRoman"/>
      <w:lvlText w:val="%9."/>
      <w:lvlJc w:val="right"/>
      <w:pPr>
        <w:ind w:left="7200" w:hanging="180"/>
      </w:pPr>
      <w:rPr>
        <w:rFonts w:ascii="Times New Roman" w:hAnsi="Times New Roman" w:cs="Times New Roman"/>
      </w:rPr>
    </w:lvl>
  </w:abstractNum>
  <w:abstractNum w:abstractNumId="23">
    <w:nsid w:val="79102A2B"/>
    <w:multiLevelType w:val="hybridMultilevel"/>
    <w:tmpl w:val="D6EA644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4">
    <w:nsid w:val="7E8E5E94"/>
    <w:multiLevelType w:val="hybridMultilevel"/>
    <w:tmpl w:val="3E90834C"/>
    <w:lvl w:ilvl="0" w:tplc="08090017">
      <w:start w:val="1"/>
      <w:numFmt w:val="lowerLetter"/>
      <w:lvlText w:val="%1)"/>
      <w:lvlJc w:val="left"/>
      <w:pPr>
        <w:ind w:left="1080" w:hanging="360"/>
      </w:pPr>
      <w:rPr>
        <w:rFonts w:ascii="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num w:numId="1">
    <w:abstractNumId w:val="0"/>
  </w:num>
  <w:num w:numId="2">
    <w:abstractNumId w:val="24"/>
  </w:num>
  <w:num w:numId="3">
    <w:abstractNumId w:val="3"/>
  </w:num>
  <w:num w:numId="4">
    <w:abstractNumId w:val="22"/>
  </w:num>
  <w:num w:numId="5">
    <w:abstractNumId w:val="19"/>
  </w:num>
  <w:num w:numId="6">
    <w:abstractNumId w:val="12"/>
  </w:num>
  <w:num w:numId="7">
    <w:abstractNumId w:val="2"/>
  </w:num>
  <w:num w:numId="8">
    <w:abstractNumId w:val="14"/>
  </w:num>
  <w:num w:numId="9">
    <w:abstractNumId w:val="15"/>
  </w:num>
  <w:num w:numId="10">
    <w:abstractNumId w:val="20"/>
  </w:num>
  <w:num w:numId="11">
    <w:abstractNumId w:val="9"/>
  </w:num>
  <w:num w:numId="12">
    <w:abstractNumId w:val="16"/>
  </w:num>
  <w:num w:numId="13">
    <w:abstractNumId w:val="21"/>
  </w:num>
  <w:num w:numId="14">
    <w:abstractNumId w:val="10"/>
  </w:num>
  <w:num w:numId="15">
    <w:abstractNumId w:val="5"/>
  </w:num>
  <w:num w:numId="16">
    <w:abstractNumId w:val="6"/>
  </w:num>
  <w:num w:numId="17">
    <w:abstractNumId w:val="7"/>
  </w:num>
  <w:num w:numId="18">
    <w:abstractNumId w:val="13"/>
  </w:num>
  <w:num w:numId="19">
    <w:abstractNumId w:val="4"/>
  </w:num>
  <w:num w:numId="20">
    <w:abstractNumId w:val="1"/>
  </w:num>
  <w:num w:numId="21">
    <w:abstractNumId w:val="23"/>
  </w:num>
  <w:num w:numId="22">
    <w:abstractNumId w:val="8"/>
  </w:num>
  <w:num w:numId="23">
    <w:abstractNumId w:val="18"/>
  </w:num>
  <w:num w:numId="24">
    <w:abstractNumId w:val="1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25AB"/>
    <w:rsid w:val="004538D1"/>
    <w:rsid w:val="004D0481"/>
    <w:rsid w:val="00FE2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5"/>
    <o:shapelayout v:ext="edit">
      <o:idmap v:ext="edit" data="1"/>
      <o:rules v:ext="edit">
        <o:r id="V:Rule21" type="connector" idref="#_x0000_s1037"/>
        <o:r id="V:Rule22" type="connector" idref="#_x0000_s1041"/>
        <o:r id="V:Rule23" type="connector" idref="#_x0000_s1039"/>
        <o:r id="V:Rule24" type="connector" idref="#_x0000_s1045"/>
        <o:r id="V:Rule25" type="connector" idref="#_x0000_s1065"/>
        <o:r id="V:Rule26" type="connector" idref="#_x0000_s1044"/>
        <o:r id="V:Rule27" type="connector" idref="#Elbow Connector 3"/>
        <o:r id="V:Rule28" type="connector" idref="#_x0000_s1042"/>
        <o:r id="V:Rule29" type="connector" idref="#_x0000_s1043"/>
        <o:r id="V:Rule30" type="connector" idref="#_x0000_s1052"/>
        <o:r id="V:Rule31" type="connector" idref="#Straight Arrow Connector 1"/>
        <o:r id="V:Rule32" type="connector" idref="#_x0000_s1053"/>
        <o:r id="V:Rule33" type="connector" idref="#_x0000_s1056"/>
        <o:r id="V:Rule34" type="connector" idref="#_x0000_s1054"/>
        <o:r id="V:Rule35" type="connector" idref="#_x0000_s1064"/>
        <o:r id="V:Rule36" type="connector" idref="#_x0000_s1047"/>
        <o:r id="V:Rule37" type="connector" idref="#_x0000_s1063"/>
        <o:r id="V:Rule38" type="connector" idref="#_x0000_s1051"/>
        <o:r id="V:Rule39" type="connector" idref="#_x0000_s1057"/>
        <o:r id="V:Rule40"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semiHidden="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header" w:unhideWhenUsed="1"/>
    <w:lsdException w:name="footer"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ind w:left="720"/>
    </w:pPr>
    <w:rPr>
      <w:rFonts w:ascii="Arial" w:hAnsi="Arial" w:cs="Arial"/>
      <w:lang w:eastAsia="en-US"/>
    </w:rPr>
  </w:style>
  <w:style w:type="paragraph" w:styleId="Heading1">
    <w:name w:val="heading 1"/>
    <w:basedOn w:val="Normal"/>
    <w:next w:val="Normal"/>
    <w:link w:val="Heading1Char"/>
    <w:uiPriority w:val="99"/>
    <w:qFormat/>
    <w:pPr>
      <w:keepNext/>
      <w:spacing w:before="240" w:after="60"/>
      <w:ind w:left="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pPr>
      <w:keepNext/>
      <w:keepLines/>
      <w:spacing w:before="200"/>
      <w:outlineLvl w:val="1"/>
    </w:pPr>
    <w:rPr>
      <w:rFonts w:ascii="Cambria" w:hAnsi="Cambria" w:cs="Cambria"/>
      <w:b/>
      <w:bCs/>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hAnsi="Cambria" w:cs="Cambria"/>
      <w:b/>
      <w:bCs/>
    </w:rPr>
  </w:style>
  <w:style w:type="paragraph" w:styleId="Heading4">
    <w:name w:val="heading 4"/>
    <w:basedOn w:val="Normal"/>
    <w:next w:val="Normal"/>
    <w:link w:val="Heading4Char"/>
    <w:uiPriority w:val="99"/>
    <w:qFormat/>
    <w:pPr>
      <w:keepNext/>
      <w:outlineLvl w:val="3"/>
    </w:pPr>
    <w:rPr>
      <w:b/>
      <w:bCs/>
    </w:rPr>
  </w:style>
  <w:style w:type="paragraph" w:styleId="Heading7">
    <w:name w:val="heading 7"/>
    <w:basedOn w:val="Normal"/>
    <w:next w:val="Normal"/>
    <w:link w:val="Heading7Char"/>
    <w:uiPriority w:val="99"/>
    <w:qFormat/>
    <w:pPr>
      <w:keepNext/>
      <w:keepLines/>
      <w:spacing w:before="200"/>
      <w:outlineLvl w:val="6"/>
    </w:pPr>
    <w:rPr>
      <w:rFonts w:ascii="Cambria" w:hAnsi="Cambria" w:cs="Cambria"/>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rPr>
  </w:style>
  <w:style w:type="character" w:customStyle="1" w:styleId="Heading2Char">
    <w:name w:val="Heading 2 Char"/>
    <w:basedOn w:val="DefaultParagraphFont"/>
    <w:link w:val="Heading2"/>
    <w:uiPriority w:val="99"/>
    <w:rPr>
      <w:rFonts w:ascii="Cambria" w:hAnsi="Cambria" w:cs="Cambria"/>
      <w:b/>
      <w:bCs/>
      <w:color w:val="auto"/>
      <w:sz w:val="26"/>
      <w:szCs w:val="26"/>
    </w:rPr>
  </w:style>
  <w:style w:type="character" w:customStyle="1" w:styleId="Heading3Char">
    <w:name w:val="Heading 3 Char"/>
    <w:basedOn w:val="DefaultParagraphFont"/>
    <w:link w:val="Heading3"/>
    <w:uiPriority w:val="99"/>
    <w:rPr>
      <w:rFonts w:ascii="Cambria" w:hAnsi="Cambria" w:cs="Cambria"/>
      <w:b/>
      <w:bCs/>
      <w:color w:val="auto"/>
    </w:rPr>
  </w:style>
  <w:style w:type="character" w:customStyle="1" w:styleId="Heading4Char">
    <w:name w:val="Heading 4 Char"/>
    <w:basedOn w:val="DefaultParagraphFont"/>
    <w:link w:val="Heading4"/>
    <w:uiPriority w:val="9"/>
    <w:semiHidden/>
    <w:rsid w:val="00FE25AB"/>
    <w:rPr>
      <w:b/>
      <w:bCs/>
      <w:sz w:val="28"/>
      <w:szCs w:val="28"/>
      <w:lang w:eastAsia="en-US"/>
    </w:rPr>
  </w:style>
  <w:style w:type="character" w:customStyle="1" w:styleId="Heading7Char">
    <w:name w:val="Heading 7 Char"/>
    <w:basedOn w:val="DefaultParagraphFont"/>
    <w:link w:val="Heading7"/>
    <w:uiPriority w:val="99"/>
    <w:rPr>
      <w:rFonts w:ascii="Cambria" w:hAnsi="Cambria" w:cs="Cambria"/>
      <w:i/>
      <w:iCs/>
      <w:color w:val="auto"/>
    </w:rPr>
  </w:style>
  <w:style w:type="paragraph" w:styleId="ListParagraph">
    <w:name w:val="List Paragraph"/>
    <w:basedOn w:val="Normal"/>
    <w:uiPriority w:val="99"/>
    <w:qFormat/>
    <w:pPr>
      <w:spacing w:after="200" w:line="276" w:lineRule="auto"/>
    </w:pPr>
    <w:rPr>
      <w:rFonts w:ascii="Calibri" w:hAnsi="Calibri" w:cs="Calibri"/>
    </w:rPr>
  </w:style>
  <w:style w:type="paragraph" w:customStyle="1" w:styleId="SectionHeading">
    <w:name w:val="Section Heading"/>
    <w:basedOn w:val="Normal"/>
    <w:uiPriority w:val="99"/>
    <w:pPr>
      <w:ind w:left="0"/>
    </w:pPr>
    <w:rPr>
      <w:b/>
      <w:bCs/>
      <w:sz w:val="24"/>
      <w:szCs w:val="24"/>
    </w:rPr>
  </w:style>
  <w:style w:type="paragraph" w:customStyle="1" w:styleId="Subsection">
    <w:name w:val="Sub section"/>
    <w:basedOn w:val="Normal"/>
    <w:uiPriority w:val="99"/>
    <w:pPr>
      <w:ind w:left="0"/>
    </w:pPr>
    <w:rPr>
      <w:b/>
      <w:bCs/>
    </w:rPr>
  </w:style>
  <w:style w:type="character" w:customStyle="1" w:styleId="SectionHeadingChar">
    <w:name w:val="Section Heading Char"/>
    <w:basedOn w:val="DefaultParagraphFont"/>
    <w:uiPriority w:val="99"/>
    <w:rPr>
      <w:rFonts w:ascii="Times New Roman" w:hAnsi="Times New Roman" w:cs="Times New Roman"/>
      <w:b/>
      <w:bCs/>
      <w:sz w:val="24"/>
      <w:szCs w:val="24"/>
    </w:rPr>
  </w:style>
  <w:style w:type="paragraph" w:styleId="NormalWeb">
    <w:name w:val="Normal (Web)"/>
    <w:basedOn w:val="Normal"/>
    <w:uiPriority w:val="99"/>
    <w:pPr>
      <w:spacing w:before="100" w:beforeAutospacing="1" w:after="100" w:afterAutospacing="1"/>
    </w:pPr>
    <w:rPr>
      <w:rFonts w:ascii="Times New Roman" w:hAnsi="Times New Roman" w:cstheme="minorBidi"/>
      <w:sz w:val="24"/>
      <w:szCs w:val="24"/>
      <w:lang w:eastAsia="en-GB"/>
    </w:rPr>
  </w:style>
  <w:style w:type="character" w:customStyle="1" w:styleId="SubsectionChar">
    <w:name w:val="Sub section Char"/>
    <w:basedOn w:val="DefaultParagraphFont"/>
    <w:uiPriority w:val="99"/>
    <w:rPr>
      <w:rFonts w:ascii="Times New Roman" w:hAnsi="Times New Roman" w:cs="Times New Roman"/>
      <w:b/>
      <w:bCs/>
    </w:rPr>
  </w:style>
  <w:style w:type="paragraph" w:styleId="BodyText3">
    <w:name w:val="Body Text 3"/>
    <w:basedOn w:val="Normal"/>
    <w:link w:val="BodyText3Char"/>
    <w:uiPriority w:val="99"/>
    <w:pPr>
      <w:tabs>
        <w:tab w:val="left" w:pos="2775"/>
      </w:tabs>
      <w:ind w:left="0"/>
    </w:pPr>
    <w:rPr>
      <w:rFonts w:ascii="Calibri" w:hAnsi="Calibri" w:cs="Calibri"/>
      <w:i/>
      <w:iCs/>
    </w:rPr>
  </w:style>
  <w:style w:type="character" w:customStyle="1" w:styleId="BodyText3Char">
    <w:name w:val="Body Text 3 Char"/>
    <w:basedOn w:val="DefaultParagraphFont"/>
    <w:link w:val="BodyText3"/>
    <w:uiPriority w:val="99"/>
    <w:rPr>
      <w:rFonts w:ascii="Calibri" w:hAnsi="Calibri" w:cs="Calibri"/>
      <w:i/>
      <w:iCs/>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rPr>
      <w:rFonts w:ascii="Times New Roman" w:hAnsi="Times New Roman" w:cs="Times New Roman"/>
    </w:rPr>
  </w:style>
  <w:style w:type="paragraph" w:styleId="BodyText">
    <w:name w:val="Body Text"/>
    <w:basedOn w:val="Normal"/>
    <w:link w:val="BodyTextChar"/>
    <w:uiPriority w:val="99"/>
    <w:pPr>
      <w:ind w:left="0"/>
      <w:jc w:val="center"/>
    </w:p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rPr>
  </w:style>
  <w:style w:type="paragraph" w:styleId="BodyText2">
    <w:name w:val="Body Text 2"/>
    <w:basedOn w:val="Normal"/>
    <w:link w:val="BodyText2Char"/>
    <w:uiPriority w:val="99"/>
    <w:pPr>
      <w:ind w:left="0"/>
      <w:jc w:val="center"/>
    </w:pPr>
    <w:rPr>
      <w:b/>
      <w:bCs/>
    </w:rPr>
  </w:style>
  <w:style w:type="character" w:customStyle="1" w:styleId="BodyText2Char">
    <w:name w:val="Body Text 2 Char"/>
    <w:basedOn w:val="DefaultParagraphFont"/>
    <w:link w:val="BodyText2"/>
    <w:uiPriority w:val="99"/>
    <w:rPr>
      <w:rFonts w:ascii="Times New Roman" w:eastAsia="Times New Roman" w:hAnsi="Times New Roman" w:cs="Times New Roman"/>
      <w:b/>
      <w:bCs/>
      <w:sz w:val="24"/>
      <w:szCs w:val="24"/>
    </w:rPr>
  </w:style>
  <w:style w:type="paragraph" w:styleId="NoSpacing">
    <w:name w:val="No Spacing"/>
    <w:uiPriority w:val="99"/>
    <w:qFormat/>
    <w:pPr>
      <w:numPr>
        <w:numId w:val="14"/>
      </w:numPr>
    </w:pPr>
    <w:rPr>
      <w:rFonts w:ascii="Arial" w:hAnsi="Arial" w:cs="Arial"/>
      <w:b/>
      <w:bCs/>
      <w:lang w:eastAsia="en-U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rPr>
  </w:style>
  <w:style w:type="paragraph" w:styleId="Caption">
    <w:name w:val="caption"/>
    <w:basedOn w:val="Normal"/>
    <w:next w:val="BodyText"/>
    <w:uiPriority w:val="99"/>
    <w:qFormat/>
    <w:pPr>
      <w:spacing w:line="360" w:lineRule="auto"/>
      <w:ind w:left="851"/>
    </w:pPr>
    <w:rPr>
      <w:rFonts w:ascii="Tahoma" w:hAnsi="Tahoma" w:cs="Tahoma"/>
      <w:b/>
      <w:bCs/>
    </w:rPr>
  </w:style>
  <w:style w:type="paragraph" w:styleId="BodyTextIndent3">
    <w:name w:val="Body Text Indent 3"/>
    <w:basedOn w:val="Normal"/>
    <w:link w:val="BodyTextIndent3Char"/>
    <w:uiPriority w:val="99"/>
    <w:rPr>
      <w:b/>
      <w:bCs/>
    </w:rPr>
  </w:style>
  <w:style w:type="character" w:customStyle="1" w:styleId="BodyTextIndent3Char">
    <w:name w:val="Body Text Indent 3 Char"/>
    <w:basedOn w:val="DefaultParagraphFont"/>
    <w:link w:val="BodyTextIndent3"/>
    <w:uiPriority w:val="99"/>
    <w:semiHidden/>
    <w:rsid w:val="00FE25AB"/>
    <w:rPr>
      <w:rFonts w:ascii="Arial" w:hAnsi="Arial" w:cs="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dway.gov.uk/pdf/Local_Transport_Plan_3.pdf" TargetMode="External"/><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hyperlink" Target="http://www.neighbourhood.statistics.gov.uk/"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news.bbc.co.uk/2/shared/spl/hi/in_depth/uk_house_prices/regions/html/region9.stm?s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edway.gov.uk/businessandinvestment/procurement.aspx" TargetMode="Externa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transparency.number1O.gov.uk/business-plan/11" TargetMode="External"/><Relationship Id="rId2" Type="http://schemas.openxmlformats.org/officeDocument/2006/relationships/hyperlink" Target="http://www.communities.qov.uk/documents/localqovernmenUpdf/1793908.pdf" TargetMode="External"/><Relationship Id="rId1" Type="http://schemas.openxmlformats.org/officeDocument/2006/relationships/hyperlink" Target="http://www.communities.qov.uk/documents/planningandbuildinq/pdf/2116950.pdf" TargetMode="External"/><Relationship Id="rId5" Type="http://schemas.openxmlformats.org/officeDocument/2006/relationships/hyperlink" Target="https://www.gov.uk/government/uploads/system/uploads/attachment_data/file/348943/vfm-assessment-of-cycling-grants.pdf" TargetMode="External"/><Relationship Id="rId4" Type="http://schemas.openxmlformats.org/officeDocument/2006/relationships/hyperlink" Target="http://www.scoot-utc.com/GeneralResults.php?%20menu=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60</Pages>
  <Words>17248</Words>
  <Characters>98318</Characters>
  <Application>Microsoft Office Word</Application>
  <DocSecurity>0</DocSecurity>
  <Lines>819</Lines>
  <Paragraphs>230</Paragraphs>
  <ScaleCrop>false</ScaleCrop>
  <Company>NCP Services</Company>
  <LinksUpToDate>false</LinksUpToDate>
  <CharactersWithSpaces>115336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PChandler</dc:creator>
  <cp:keywords/>
  <dc:description/>
  <cp:lastModifiedBy>hewlett, steve</cp:lastModifiedBy>
  <cp:revision>14</cp:revision>
  <dcterms:created xsi:type="dcterms:W3CDTF">2015-02-16T10:32:00Z</dcterms:created>
  <dcterms:modified xsi:type="dcterms:W3CDTF">2015-02-24T08:56:00Z</dcterms:modified>
</cp:coreProperties>
</file>