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92B" w:rsidRPr="00306FE5" w:rsidRDefault="00285CEE" w:rsidP="00685C6D">
      <w:pPr>
        <w:spacing w:after="0" w:line="240" w:lineRule="auto"/>
        <w:rPr>
          <w:b/>
          <w:sz w:val="32"/>
          <w:szCs w:val="32"/>
        </w:rPr>
      </w:pPr>
      <w:r>
        <w:rPr>
          <w:b/>
          <w:noProof/>
          <w:sz w:val="32"/>
          <w:szCs w:val="32"/>
        </w:rPr>
        <w:drawing>
          <wp:anchor distT="0" distB="0" distL="114300" distR="114300" simplePos="0" relativeHeight="251658240" behindDoc="1" locked="0" layoutInCell="1" allowOverlap="1">
            <wp:simplePos x="0" y="0"/>
            <wp:positionH relativeFrom="column">
              <wp:posOffset>0</wp:posOffset>
            </wp:positionH>
            <wp:positionV relativeFrom="paragraph">
              <wp:posOffset>0</wp:posOffset>
            </wp:positionV>
            <wp:extent cx="2955290" cy="1373505"/>
            <wp:effectExtent l="0" t="0" r="0" b="0"/>
            <wp:wrapSquare wrapText="bothSides"/>
            <wp:docPr id="1" name="Picture 1" descr="\\Chesfs50\EUCHomedirs\Adam.Bryan\Desktop\South East local Enterprise Partnership logo no boundari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sfs50\EUCHomedirs\Adam.Bryan\Desktop\South East local Enterprise Partnership logo no boundaries.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55290" cy="1373505"/>
                    </a:xfrm>
                    <a:prstGeom prst="rect">
                      <a:avLst/>
                    </a:prstGeom>
                    <a:noFill/>
                    <a:ln>
                      <a:noFill/>
                    </a:ln>
                  </pic:spPr>
                </pic:pic>
              </a:graphicData>
            </a:graphic>
          </wp:anchor>
        </w:drawing>
      </w:r>
    </w:p>
    <w:p w:rsidR="005B7BB2" w:rsidRDefault="005B7BB2" w:rsidP="005B7BB2">
      <w:pPr>
        <w:tabs>
          <w:tab w:val="left" w:pos="5103"/>
          <w:tab w:val="left" w:pos="6096"/>
        </w:tabs>
        <w:spacing w:after="0" w:line="240" w:lineRule="auto"/>
        <w:ind w:left="1440"/>
        <w:rPr>
          <w:b/>
          <w:sz w:val="32"/>
          <w:szCs w:val="32"/>
        </w:rPr>
      </w:pPr>
      <w:r>
        <w:rPr>
          <w:b/>
          <w:sz w:val="32"/>
          <w:szCs w:val="32"/>
        </w:rPr>
        <w:t xml:space="preserve">                  </w:t>
      </w:r>
      <w:r w:rsidR="00285CEE">
        <w:rPr>
          <w:b/>
          <w:sz w:val="32"/>
          <w:szCs w:val="32"/>
        </w:rPr>
        <w:t>Capital P</w:t>
      </w:r>
      <w:r w:rsidR="00306FE5" w:rsidRPr="00306FE5">
        <w:rPr>
          <w:b/>
          <w:sz w:val="32"/>
          <w:szCs w:val="32"/>
        </w:rPr>
        <w:t xml:space="preserve">roject </w:t>
      </w:r>
    </w:p>
    <w:p w:rsidR="00306FE5" w:rsidRDefault="005B7BB2" w:rsidP="00C57175">
      <w:pPr>
        <w:tabs>
          <w:tab w:val="left" w:pos="5103"/>
        </w:tabs>
        <w:spacing w:after="0" w:line="240" w:lineRule="auto"/>
        <w:ind w:left="1440"/>
        <w:rPr>
          <w:b/>
          <w:sz w:val="32"/>
          <w:szCs w:val="32"/>
        </w:rPr>
      </w:pPr>
      <w:r>
        <w:rPr>
          <w:b/>
          <w:sz w:val="32"/>
          <w:szCs w:val="32"/>
        </w:rPr>
        <w:t xml:space="preserve">                  </w:t>
      </w:r>
      <w:r w:rsidR="00285CEE">
        <w:rPr>
          <w:b/>
          <w:sz w:val="32"/>
          <w:szCs w:val="32"/>
        </w:rPr>
        <w:t xml:space="preserve">Business Case </w:t>
      </w:r>
    </w:p>
    <w:p w:rsidR="00285CEE" w:rsidRDefault="00285CEE" w:rsidP="00685C6D">
      <w:pPr>
        <w:spacing w:after="0" w:line="240" w:lineRule="auto"/>
        <w:rPr>
          <w:b/>
          <w:color w:val="808080" w:themeColor="background1" w:themeShade="80"/>
          <w:sz w:val="32"/>
          <w:szCs w:val="32"/>
        </w:rPr>
      </w:pPr>
    </w:p>
    <w:p w:rsidR="00285CEE" w:rsidRDefault="00285CEE" w:rsidP="00685C6D">
      <w:pPr>
        <w:spacing w:after="0" w:line="240" w:lineRule="auto"/>
        <w:rPr>
          <w:b/>
          <w:color w:val="808080" w:themeColor="background1" w:themeShade="80"/>
          <w:sz w:val="32"/>
          <w:szCs w:val="32"/>
        </w:rPr>
      </w:pPr>
    </w:p>
    <w:p w:rsidR="00285CEE" w:rsidRDefault="00285CEE" w:rsidP="00685C6D">
      <w:pPr>
        <w:spacing w:after="0" w:line="240" w:lineRule="auto"/>
        <w:rPr>
          <w:b/>
          <w:color w:val="808080" w:themeColor="background1" w:themeShade="80"/>
          <w:sz w:val="32"/>
          <w:szCs w:val="32"/>
        </w:rPr>
      </w:pPr>
    </w:p>
    <w:p w:rsidR="006279EC" w:rsidRDefault="006279EC" w:rsidP="00717D45">
      <w:pPr>
        <w:spacing w:after="0" w:line="240" w:lineRule="auto"/>
        <w:ind w:left="1440" w:right="1394"/>
        <w:rPr>
          <w:rFonts w:eastAsia="Times New Roman" w:cs="Times New Roman"/>
        </w:rPr>
      </w:pPr>
    </w:p>
    <w:p w:rsidR="006279EC" w:rsidRDefault="006279EC" w:rsidP="00717D45">
      <w:pPr>
        <w:spacing w:after="0" w:line="240" w:lineRule="auto"/>
        <w:ind w:left="1440" w:right="1394"/>
        <w:rPr>
          <w:rFonts w:eastAsia="Times New Roman" w:cs="Times New Roman"/>
        </w:rPr>
      </w:pPr>
    </w:p>
    <w:p w:rsidR="00F320F6" w:rsidRDefault="00F320F6" w:rsidP="00717D45">
      <w:pPr>
        <w:spacing w:after="0" w:line="240" w:lineRule="auto"/>
        <w:ind w:left="1440" w:right="1394"/>
        <w:rPr>
          <w:rFonts w:eastAsia="Times New Roman" w:cs="Times New Roman"/>
        </w:rPr>
      </w:pPr>
    </w:p>
    <w:p w:rsidR="00F320F6" w:rsidRDefault="00F320F6" w:rsidP="00717D45">
      <w:pPr>
        <w:spacing w:after="0" w:line="240" w:lineRule="auto"/>
        <w:ind w:left="1440" w:right="1394"/>
        <w:rPr>
          <w:rFonts w:eastAsia="Times New Roman" w:cs="Times New Roman"/>
        </w:rPr>
      </w:pPr>
    </w:p>
    <w:p w:rsidR="00685C6D" w:rsidRDefault="00685C6D" w:rsidP="00717D45">
      <w:pPr>
        <w:spacing w:after="0" w:line="240" w:lineRule="auto"/>
        <w:ind w:left="1440" w:right="1394"/>
        <w:rPr>
          <w:rFonts w:eastAsia="Times New Roman" w:cs="Times New Roman"/>
        </w:rPr>
      </w:pPr>
      <w:r>
        <w:rPr>
          <w:rFonts w:eastAsia="Times New Roman" w:cs="Times New Roman"/>
        </w:rPr>
        <w:t>This document provides the template for non-transport project business cases for funding which is made available through the South East Local Enterprise Partnership. It is therefore designed to satisfy all SELEP governance processes, approvals by the Strategic Board, the Accountability Board and also the requirements of the Independent Technical Evaluation process where applied.</w:t>
      </w:r>
    </w:p>
    <w:p w:rsidR="00685C6D" w:rsidRDefault="00685C6D" w:rsidP="00717D45">
      <w:pPr>
        <w:spacing w:after="0" w:line="240" w:lineRule="auto"/>
        <w:ind w:left="1440" w:right="1394"/>
        <w:rPr>
          <w:rFonts w:eastAsia="Times New Roman" w:cs="Times New Roman"/>
        </w:rPr>
      </w:pPr>
    </w:p>
    <w:p w:rsidR="00685C6D" w:rsidRDefault="00685C6D" w:rsidP="00717D45">
      <w:pPr>
        <w:spacing w:after="0" w:line="240" w:lineRule="auto"/>
        <w:ind w:left="1440" w:right="1394"/>
        <w:rPr>
          <w:rStyle w:val="Hyperlink"/>
        </w:rPr>
      </w:pPr>
      <w:r w:rsidRPr="00685C6D">
        <w:rPr>
          <w:rFonts w:eastAsia="Times New Roman" w:cs="Times New Roman"/>
        </w:rPr>
        <w:t xml:space="preserve">Please note that this template is for guidance purposes only and should be completed in accordance with the guidelines laid down in the HM Treasury’s Green Book. </w:t>
      </w:r>
      <w:hyperlink r:id="rId9" w:history="1">
        <w:r w:rsidRPr="00685C6D">
          <w:rPr>
            <w:rStyle w:val="Hyperlink"/>
            <w:rFonts w:eastAsia="Times New Roman" w:cs="Times New Roman"/>
          </w:rPr>
          <w:t>https://www.gov.uk/government/publications/the-green-book-appraisal-and-evaluation-in-central-governent</w:t>
        </w:r>
      </w:hyperlink>
    </w:p>
    <w:p w:rsidR="00C57175" w:rsidRDefault="00C57175" w:rsidP="00717D45">
      <w:pPr>
        <w:spacing w:after="0" w:line="240" w:lineRule="auto"/>
        <w:ind w:left="1440" w:right="1394"/>
        <w:rPr>
          <w:rStyle w:val="Hyperlink"/>
        </w:rPr>
      </w:pPr>
    </w:p>
    <w:p w:rsidR="00C57175" w:rsidRPr="00F320F6" w:rsidRDefault="00F320F6" w:rsidP="00F320F6">
      <w:pPr>
        <w:spacing w:after="0" w:line="240" w:lineRule="auto"/>
        <w:ind w:left="1440" w:right="1394"/>
        <w:rPr>
          <w:rStyle w:val="Hyperlink"/>
        </w:rPr>
      </w:pPr>
      <w:r>
        <w:rPr>
          <w:rStyle w:val="Hyperlink"/>
          <w:rFonts w:eastAsia="Times New Roman" w:cs="Times New Roman"/>
          <w:b/>
          <w:color w:val="auto"/>
          <w:u w:val="none"/>
        </w:rPr>
        <w:t>Scheme</w:t>
      </w:r>
      <w:r w:rsidR="00722DE2">
        <w:rPr>
          <w:rStyle w:val="Hyperlink"/>
          <w:rFonts w:eastAsia="Times New Roman" w:cs="Times New Roman"/>
          <w:b/>
          <w:color w:val="auto"/>
          <w:u w:val="none"/>
        </w:rPr>
        <w:t>/project</w:t>
      </w:r>
      <w:r>
        <w:rPr>
          <w:rStyle w:val="Hyperlink"/>
          <w:rFonts w:eastAsia="Times New Roman" w:cs="Times New Roman"/>
          <w:b/>
          <w:color w:val="auto"/>
          <w:u w:val="none"/>
        </w:rPr>
        <w:t xml:space="preserve"> promoters are encouraged to </w:t>
      </w:r>
      <w:r w:rsidR="00E17CFD">
        <w:rPr>
          <w:rStyle w:val="Hyperlink"/>
          <w:rFonts w:eastAsia="Times New Roman" w:cs="Times New Roman"/>
          <w:b/>
          <w:color w:val="auto"/>
          <w:u w:val="none"/>
        </w:rPr>
        <w:t>embed</w:t>
      </w:r>
      <w:r>
        <w:rPr>
          <w:rStyle w:val="Hyperlink"/>
          <w:rFonts w:eastAsia="Times New Roman" w:cs="Times New Roman"/>
          <w:b/>
          <w:color w:val="auto"/>
          <w:u w:val="none"/>
        </w:rPr>
        <w:t xml:space="preserve"> any additional supporting information </w:t>
      </w:r>
      <w:r w:rsidR="00E17CFD">
        <w:rPr>
          <w:rStyle w:val="Hyperlink"/>
          <w:rFonts w:eastAsia="Times New Roman" w:cs="Times New Roman"/>
          <w:b/>
          <w:color w:val="auto"/>
          <w:u w:val="none"/>
        </w:rPr>
        <w:t>in</w:t>
      </w:r>
      <w:r>
        <w:rPr>
          <w:rStyle w:val="Hyperlink"/>
          <w:rFonts w:eastAsia="Times New Roman" w:cs="Times New Roman"/>
          <w:b/>
          <w:color w:val="auto"/>
          <w:u w:val="none"/>
        </w:rPr>
        <w:t>to this template. This is indicated throughout the document</w:t>
      </w:r>
      <w:r w:rsidR="009E1FED">
        <w:rPr>
          <w:rStyle w:val="Hyperlink"/>
          <w:rFonts w:eastAsia="Times New Roman" w:cs="Times New Roman"/>
          <w:b/>
          <w:color w:val="auto"/>
          <w:u w:val="none"/>
        </w:rPr>
        <w:t>.</w:t>
      </w:r>
    </w:p>
    <w:p w:rsidR="00F320F6" w:rsidRDefault="00F320F6" w:rsidP="00C57175">
      <w:pPr>
        <w:spacing w:after="0" w:line="240" w:lineRule="auto"/>
        <w:ind w:right="1394"/>
        <w:rPr>
          <w:rStyle w:val="Hyperlink"/>
        </w:rPr>
      </w:pPr>
    </w:p>
    <w:p w:rsidR="00F320F6" w:rsidRPr="00C57175" w:rsidRDefault="00F320F6" w:rsidP="00C57175">
      <w:pPr>
        <w:spacing w:after="0" w:line="240" w:lineRule="auto"/>
        <w:ind w:right="1394"/>
        <w:rPr>
          <w:rStyle w:val="Hyperlink"/>
        </w:rPr>
      </w:pPr>
    </w:p>
    <w:p w:rsidR="00C57175" w:rsidRPr="00C57175" w:rsidRDefault="00C57175" w:rsidP="00F320F6">
      <w:pPr>
        <w:spacing w:after="0" w:line="240" w:lineRule="auto"/>
        <w:ind w:right="1394"/>
        <w:rPr>
          <w:rStyle w:val="Hyperlink"/>
        </w:rPr>
      </w:pPr>
      <w:r w:rsidRPr="00C57175">
        <w:rPr>
          <w:rStyle w:val="Hyperlink"/>
          <w:rFonts w:eastAsia="Times New Roman" w:cs="Times New Roman"/>
          <w:b/>
          <w:u w:val="none"/>
        </w:rPr>
        <w:tab/>
      </w:r>
      <w:r w:rsidRPr="00C57175">
        <w:rPr>
          <w:rStyle w:val="Hyperlink"/>
          <w:rFonts w:eastAsia="Times New Roman" w:cs="Times New Roman"/>
          <w:b/>
          <w:u w:val="none"/>
        </w:rPr>
        <w:tab/>
      </w:r>
    </w:p>
    <w:p w:rsidR="00C57175" w:rsidRDefault="00C57175" w:rsidP="00C57175">
      <w:pPr>
        <w:spacing w:after="0" w:line="240" w:lineRule="auto"/>
        <w:ind w:right="1394"/>
        <w:rPr>
          <w:rStyle w:val="Hyperlink"/>
        </w:rPr>
      </w:pPr>
    </w:p>
    <w:p w:rsidR="00C57175" w:rsidRPr="00C57175" w:rsidRDefault="00C57175" w:rsidP="00F320F6">
      <w:pPr>
        <w:spacing w:after="0" w:line="240" w:lineRule="auto"/>
        <w:ind w:right="1394"/>
        <w:rPr>
          <w:rStyle w:val="Hyperlink"/>
        </w:rPr>
      </w:pPr>
      <w:r>
        <w:rPr>
          <w:rStyle w:val="Hyperlink"/>
          <w:rFonts w:eastAsia="Times New Roman" w:cs="Times New Roman"/>
          <w:u w:val="none"/>
        </w:rPr>
        <w:tab/>
      </w:r>
      <w:r w:rsidRPr="00C57175">
        <w:rPr>
          <w:rStyle w:val="Hyperlink"/>
          <w:rFonts w:eastAsia="Times New Roman" w:cs="Times New Roman"/>
          <w:b/>
          <w:color w:val="FFC000"/>
          <w:u w:val="none"/>
        </w:rPr>
        <w:tab/>
      </w:r>
    </w:p>
    <w:p w:rsidR="00717D45" w:rsidRDefault="00717D45" w:rsidP="00685C6D">
      <w:pPr>
        <w:spacing w:after="0" w:line="240" w:lineRule="auto"/>
        <w:ind w:right="-1"/>
        <w:rPr>
          <w:rStyle w:val="Hyperlink"/>
        </w:rPr>
      </w:pPr>
    </w:p>
    <w:p w:rsidR="00717D45" w:rsidRDefault="00717D45" w:rsidP="00685C6D">
      <w:pPr>
        <w:spacing w:after="0" w:line="240" w:lineRule="auto"/>
        <w:ind w:right="-1"/>
        <w:rPr>
          <w:rStyle w:val="Hyperlink"/>
        </w:rPr>
      </w:pPr>
    </w:p>
    <w:p w:rsidR="00717D45" w:rsidRDefault="00717D45" w:rsidP="00685C6D">
      <w:pPr>
        <w:spacing w:after="0" w:line="240" w:lineRule="auto"/>
        <w:ind w:right="-1"/>
        <w:rPr>
          <w:rStyle w:val="Hyperlink"/>
        </w:rPr>
      </w:pPr>
    </w:p>
    <w:p w:rsidR="00717D45" w:rsidRDefault="00717D45" w:rsidP="00685C6D">
      <w:pPr>
        <w:spacing w:after="0" w:line="240" w:lineRule="auto"/>
        <w:ind w:right="-1"/>
        <w:rPr>
          <w:rStyle w:val="Hyperlink"/>
        </w:rPr>
      </w:pPr>
    </w:p>
    <w:p w:rsidR="00717D45" w:rsidRDefault="00717D45" w:rsidP="00685C6D">
      <w:pPr>
        <w:spacing w:after="0" w:line="240" w:lineRule="auto"/>
        <w:ind w:right="-1"/>
        <w:rPr>
          <w:rStyle w:val="Hyperlink"/>
        </w:rPr>
      </w:pPr>
    </w:p>
    <w:p w:rsidR="00717D45" w:rsidRDefault="00717D45" w:rsidP="00685C6D">
      <w:pPr>
        <w:spacing w:after="0" w:line="240" w:lineRule="auto"/>
        <w:ind w:right="-1"/>
        <w:rPr>
          <w:rStyle w:val="Hyperlink"/>
        </w:rPr>
      </w:pPr>
    </w:p>
    <w:p w:rsidR="00717D45" w:rsidRDefault="00717D45" w:rsidP="00685C6D">
      <w:pPr>
        <w:spacing w:after="0" w:line="240" w:lineRule="auto"/>
        <w:ind w:right="-1"/>
        <w:rPr>
          <w:rStyle w:val="Hyperlink"/>
        </w:rPr>
      </w:pPr>
    </w:p>
    <w:p w:rsidR="00717D45" w:rsidRDefault="00717D45" w:rsidP="00685C6D">
      <w:pPr>
        <w:spacing w:after="0" w:line="240" w:lineRule="auto"/>
        <w:ind w:right="-1"/>
        <w:rPr>
          <w:rStyle w:val="Hyperlink"/>
        </w:rPr>
      </w:pPr>
    </w:p>
    <w:p w:rsidR="00F320F6" w:rsidRDefault="00F320F6" w:rsidP="00685C6D">
      <w:pPr>
        <w:spacing w:after="0" w:line="240" w:lineRule="auto"/>
        <w:ind w:right="-1"/>
        <w:rPr>
          <w:rStyle w:val="Hyperlink"/>
        </w:rPr>
      </w:pPr>
    </w:p>
    <w:p w:rsidR="00F320F6" w:rsidRDefault="00F320F6" w:rsidP="00685C6D">
      <w:pPr>
        <w:spacing w:after="0" w:line="240" w:lineRule="auto"/>
        <w:ind w:right="-1"/>
        <w:rPr>
          <w:rStyle w:val="Hyperlink"/>
        </w:rPr>
      </w:pPr>
    </w:p>
    <w:p w:rsidR="00717D45" w:rsidRDefault="00717D45" w:rsidP="00685C6D">
      <w:pPr>
        <w:spacing w:after="0" w:line="240" w:lineRule="auto"/>
        <w:ind w:right="-1"/>
        <w:rPr>
          <w:rStyle w:val="Hyperlink"/>
        </w:rPr>
      </w:pPr>
    </w:p>
    <w:p w:rsidR="00717D45" w:rsidRDefault="00717D45" w:rsidP="00685C6D">
      <w:pPr>
        <w:spacing w:after="0" w:line="240" w:lineRule="auto"/>
        <w:ind w:right="-1"/>
        <w:rPr>
          <w:rStyle w:val="Hyperlink"/>
        </w:rPr>
      </w:pPr>
    </w:p>
    <w:p w:rsidR="00717D45" w:rsidRDefault="00717D45" w:rsidP="00685C6D">
      <w:pPr>
        <w:spacing w:after="0" w:line="240" w:lineRule="auto"/>
        <w:ind w:right="-1"/>
        <w:rPr>
          <w:rStyle w:val="Hyperlink"/>
        </w:rPr>
      </w:pPr>
    </w:p>
    <w:p w:rsidR="00717D45" w:rsidRDefault="00717D45" w:rsidP="00685C6D">
      <w:pPr>
        <w:spacing w:after="0" w:line="240" w:lineRule="auto"/>
        <w:ind w:right="-1"/>
        <w:rPr>
          <w:rStyle w:val="Hyperlink"/>
        </w:rPr>
      </w:pPr>
    </w:p>
    <w:p w:rsidR="00205229" w:rsidRDefault="00205229" w:rsidP="00685C6D">
      <w:pPr>
        <w:spacing w:after="0" w:line="240" w:lineRule="auto"/>
        <w:ind w:right="-1"/>
        <w:rPr>
          <w:rStyle w:val="Hyperlink"/>
        </w:rPr>
      </w:pPr>
    </w:p>
    <w:tbl>
      <w:tblPr>
        <w:tblStyle w:val="TableGrid"/>
        <w:tblW w:w="0" w:type="auto"/>
        <w:tblInd w:w="108" w:type="dxa"/>
        <w:tblLook w:val="04A0"/>
      </w:tblPr>
      <w:tblGrid>
        <w:gridCol w:w="2518"/>
        <w:gridCol w:w="4111"/>
      </w:tblGrid>
      <w:tr w:rsidR="00717D45">
        <w:tc>
          <w:tcPr>
            <w:tcW w:w="6629" w:type="dxa"/>
            <w:gridSpan w:val="2"/>
          </w:tcPr>
          <w:p w:rsidR="00717D45" w:rsidRPr="00205229" w:rsidRDefault="00717D45" w:rsidP="00685C6D">
            <w:pPr>
              <w:ind w:right="-1"/>
              <w:rPr>
                <w:rFonts w:eastAsia="Times New Roman" w:cs="Times New Roman"/>
                <w:b/>
              </w:rPr>
            </w:pPr>
            <w:r w:rsidRPr="00205229">
              <w:rPr>
                <w:rFonts w:eastAsia="Times New Roman" w:cs="Times New Roman"/>
                <w:b/>
              </w:rPr>
              <w:t>Version control</w:t>
            </w:r>
          </w:p>
        </w:tc>
      </w:tr>
      <w:tr w:rsidR="00717D45">
        <w:tc>
          <w:tcPr>
            <w:tcW w:w="2518" w:type="dxa"/>
          </w:tcPr>
          <w:p w:rsidR="00717D45" w:rsidRPr="00205229" w:rsidRDefault="00205229" w:rsidP="00685C6D">
            <w:pPr>
              <w:ind w:right="-1"/>
              <w:rPr>
                <w:rFonts w:eastAsia="Times New Roman" w:cs="Times New Roman"/>
                <w:b/>
                <w:color w:val="4BACC6" w:themeColor="accent5"/>
              </w:rPr>
            </w:pPr>
            <w:r w:rsidRPr="00205229">
              <w:rPr>
                <w:rFonts w:eastAsia="Times New Roman" w:cs="Times New Roman"/>
                <w:b/>
                <w:color w:val="4BACC6" w:themeColor="accent5"/>
              </w:rPr>
              <w:t>Document ID</w:t>
            </w:r>
          </w:p>
        </w:tc>
        <w:tc>
          <w:tcPr>
            <w:tcW w:w="4111" w:type="dxa"/>
          </w:tcPr>
          <w:p w:rsidR="00717D45" w:rsidRPr="00205229" w:rsidRDefault="00717D45" w:rsidP="00685C6D">
            <w:pPr>
              <w:ind w:right="-1"/>
              <w:rPr>
                <w:rFonts w:eastAsia="Times New Roman" w:cs="Times New Roman"/>
              </w:rPr>
            </w:pPr>
          </w:p>
        </w:tc>
      </w:tr>
      <w:tr w:rsidR="00717D45">
        <w:tc>
          <w:tcPr>
            <w:tcW w:w="2518" w:type="dxa"/>
          </w:tcPr>
          <w:p w:rsidR="00717D45" w:rsidRPr="00205229" w:rsidRDefault="00205229" w:rsidP="00685C6D">
            <w:pPr>
              <w:ind w:right="-1"/>
              <w:rPr>
                <w:rFonts w:eastAsia="Times New Roman" w:cs="Times New Roman"/>
                <w:b/>
                <w:color w:val="4BACC6" w:themeColor="accent5"/>
              </w:rPr>
            </w:pPr>
            <w:r w:rsidRPr="00205229">
              <w:rPr>
                <w:rFonts w:eastAsia="Times New Roman" w:cs="Times New Roman"/>
                <w:b/>
                <w:color w:val="4BACC6" w:themeColor="accent5"/>
              </w:rPr>
              <w:t>Version</w:t>
            </w:r>
          </w:p>
        </w:tc>
        <w:tc>
          <w:tcPr>
            <w:tcW w:w="4111" w:type="dxa"/>
          </w:tcPr>
          <w:p w:rsidR="00717D45" w:rsidRPr="00205229" w:rsidRDefault="00EA4DEF" w:rsidP="00685C6D">
            <w:pPr>
              <w:ind w:right="-1"/>
              <w:rPr>
                <w:rFonts w:eastAsia="Times New Roman" w:cs="Times New Roman"/>
              </w:rPr>
            </w:pPr>
            <w:r>
              <w:rPr>
                <w:rFonts w:eastAsia="Times New Roman" w:cs="Times New Roman"/>
              </w:rPr>
              <w:t>3</w:t>
            </w:r>
          </w:p>
        </w:tc>
      </w:tr>
      <w:tr w:rsidR="00717D45">
        <w:tc>
          <w:tcPr>
            <w:tcW w:w="2518" w:type="dxa"/>
          </w:tcPr>
          <w:p w:rsidR="00717D45" w:rsidRPr="00205229" w:rsidRDefault="00205229" w:rsidP="00685C6D">
            <w:pPr>
              <w:ind w:right="-1"/>
              <w:rPr>
                <w:rFonts w:eastAsia="Times New Roman" w:cs="Times New Roman"/>
                <w:b/>
                <w:color w:val="4BACC6" w:themeColor="accent5"/>
              </w:rPr>
            </w:pPr>
            <w:r w:rsidRPr="00205229">
              <w:rPr>
                <w:rFonts w:eastAsia="Times New Roman" w:cs="Times New Roman"/>
                <w:b/>
                <w:color w:val="4BACC6" w:themeColor="accent5"/>
              </w:rPr>
              <w:t xml:space="preserve">Author </w:t>
            </w:r>
          </w:p>
        </w:tc>
        <w:tc>
          <w:tcPr>
            <w:tcW w:w="4111" w:type="dxa"/>
          </w:tcPr>
          <w:p w:rsidR="00717D45" w:rsidRPr="00205229" w:rsidRDefault="006C58E3" w:rsidP="00685C6D">
            <w:pPr>
              <w:ind w:right="-1"/>
              <w:rPr>
                <w:rFonts w:eastAsia="Times New Roman" w:cs="Times New Roman"/>
              </w:rPr>
            </w:pPr>
            <w:r>
              <w:rPr>
                <w:rFonts w:eastAsia="Times New Roman" w:cs="Times New Roman"/>
              </w:rPr>
              <w:t>Southend on Sea Borough Council</w:t>
            </w:r>
          </w:p>
        </w:tc>
      </w:tr>
      <w:tr w:rsidR="00717D45">
        <w:tc>
          <w:tcPr>
            <w:tcW w:w="2518" w:type="dxa"/>
          </w:tcPr>
          <w:p w:rsidR="00717D45" w:rsidRPr="00205229" w:rsidRDefault="00205229" w:rsidP="00685C6D">
            <w:pPr>
              <w:ind w:right="-1"/>
              <w:rPr>
                <w:rFonts w:eastAsia="Times New Roman" w:cs="Times New Roman"/>
                <w:b/>
                <w:color w:val="4BACC6" w:themeColor="accent5"/>
              </w:rPr>
            </w:pPr>
            <w:r w:rsidRPr="00205229">
              <w:rPr>
                <w:rFonts w:eastAsia="Times New Roman" w:cs="Times New Roman"/>
                <w:b/>
                <w:color w:val="4BACC6" w:themeColor="accent5"/>
              </w:rPr>
              <w:t>Document status</w:t>
            </w:r>
          </w:p>
        </w:tc>
        <w:tc>
          <w:tcPr>
            <w:tcW w:w="4111" w:type="dxa"/>
          </w:tcPr>
          <w:p w:rsidR="00717D45" w:rsidRPr="00205229" w:rsidRDefault="00EA4DEF" w:rsidP="00685C6D">
            <w:pPr>
              <w:ind w:right="-1"/>
              <w:rPr>
                <w:rFonts w:eastAsia="Times New Roman" w:cs="Times New Roman"/>
              </w:rPr>
            </w:pPr>
            <w:r>
              <w:rPr>
                <w:rFonts w:eastAsia="Times New Roman" w:cs="Times New Roman"/>
              </w:rPr>
              <w:t>Revised Business Case 27.01.16</w:t>
            </w:r>
          </w:p>
        </w:tc>
      </w:tr>
      <w:tr w:rsidR="00717D45">
        <w:tc>
          <w:tcPr>
            <w:tcW w:w="2518" w:type="dxa"/>
          </w:tcPr>
          <w:p w:rsidR="00717D45" w:rsidRPr="00205229" w:rsidRDefault="00205229" w:rsidP="00685C6D">
            <w:pPr>
              <w:ind w:right="-1"/>
              <w:rPr>
                <w:rFonts w:eastAsia="Times New Roman" w:cs="Times New Roman"/>
                <w:b/>
                <w:color w:val="4BACC6" w:themeColor="accent5"/>
              </w:rPr>
            </w:pPr>
            <w:r w:rsidRPr="00205229">
              <w:rPr>
                <w:rFonts w:eastAsia="Times New Roman" w:cs="Times New Roman"/>
                <w:b/>
                <w:color w:val="4BACC6" w:themeColor="accent5"/>
              </w:rPr>
              <w:t>Authorised by</w:t>
            </w:r>
          </w:p>
        </w:tc>
        <w:tc>
          <w:tcPr>
            <w:tcW w:w="4111" w:type="dxa"/>
          </w:tcPr>
          <w:p w:rsidR="00717D45" w:rsidRPr="00205229" w:rsidRDefault="00717D45" w:rsidP="00685C6D">
            <w:pPr>
              <w:ind w:right="-1"/>
              <w:rPr>
                <w:rFonts w:eastAsia="Times New Roman" w:cs="Times New Roman"/>
              </w:rPr>
            </w:pPr>
          </w:p>
        </w:tc>
      </w:tr>
      <w:tr w:rsidR="00717D45">
        <w:tc>
          <w:tcPr>
            <w:tcW w:w="2518" w:type="dxa"/>
          </w:tcPr>
          <w:p w:rsidR="00717D45" w:rsidRPr="00205229" w:rsidRDefault="00205229" w:rsidP="00685C6D">
            <w:pPr>
              <w:ind w:right="-1"/>
              <w:rPr>
                <w:rFonts w:eastAsia="Times New Roman" w:cs="Times New Roman"/>
                <w:b/>
                <w:color w:val="4BACC6" w:themeColor="accent5"/>
              </w:rPr>
            </w:pPr>
            <w:r w:rsidRPr="00205229">
              <w:rPr>
                <w:rFonts w:eastAsia="Times New Roman" w:cs="Times New Roman"/>
                <w:b/>
                <w:color w:val="4BACC6" w:themeColor="accent5"/>
              </w:rPr>
              <w:t>Date authorised</w:t>
            </w:r>
          </w:p>
        </w:tc>
        <w:tc>
          <w:tcPr>
            <w:tcW w:w="4111" w:type="dxa"/>
          </w:tcPr>
          <w:p w:rsidR="00717D45" w:rsidRPr="00205229" w:rsidRDefault="00717D45" w:rsidP="00685C6D">
            <w:pPr>
              <w:ind w:right="-1"/>
              <w:rPr>
                <w:rFonts w:eastAsia="Times New Roman" w:cs="Times New Roman"/>
              </w:rPr>
            </w:pPr>
          </w:p>
        </w:tc>
      </w:tr>
    </w:tbl>
    <w:p w:rsidR="00717D45" w:rsidRPr="00685C6D" w:rsidRDefault="00717D45" w:rsidP="00685C6D">
      <w:pPr>
        <w:spacing w:after="0" w:line="240" w:lineRule="auto"/>
        <w:ind w:right="-1"/>
        <w:rPr>
          <w:rFonts w:eastAsia="Times New Roman" w:cs="Times New Roman"/>
        </w:rPr>
      </w:pPr>
    </w:p>
    <w:p w:rsidR="00205229" w:rsidRDefault="00205229">
      <w:pPr>
        <w:rPr>
          <w:b/>
          <w:color w:val="808080" w:themeColor="background1" w:themeShade="80"/>
          <w:sz w:val="32"/>
          <w:szCs w:val="32"/>
        </w:rPr>
      </w:pPr>
      <w:r>
        <w:rPr>
          <w:b/>
          <w:color w:val="808080" w:themeColor="background1" w:themeShade="80"/>
          <w:sz w:val="32"/>
          <w:szCs w:val="32"/>
        </w:rPr>
        <w:br w:type="page"/>
      </w:r>
    </w:p>
    <w:p w:rsidR="00285CEE" w:rsidRDefault="00285CEE" w:rsidP="00685C6D">
      <w:pPr>
        <w:spacing w:after="0" w:line="240" w:lineRule="auto"/>
        <w:rPr>
          <w:b/>
          <w:color w:val="808080" w:themeColor="background1" w:themeShade="80"/>
          <w:sz w:val="32"/>
          <w:szCs w:val="32"/>
        </w:rPr>
      </w:pPr>
    </w:p>
    <w:tbl>
      <w:tblPr>
        <w:tblStyle w:val="TableGrid"/>
        <w:tblW w:w="0" w:type="auto"/>
        <w:tblInd w:w="108" w:type="dxa"/>
        <w:tblLook w:val="04A0"/>
      </w:tblPr>
      <w:tblGrid>
        <w:gridCol w:w="5233"/>
        <w:gridCol w:w="5257"/>
      </w:tblGrid>
      <w:tr w:rsidR="00F320F6">
        <w:tc>
          <w:tcPr>
            <w:tcW w:w="5233" w:type="dxa"/>
            <w:vAlign w:val="bottom"/>
          </w:tcPr>
          <w:p w:rsidR="00F320F6" w:rsidRDefault="00F320F6" w:rsidP="00F320F6">
            <w:pPr>
              <w:ind w:right="1394"/>
              <w:rPr>
                <w:rStyle w:val="Hyperlink"/>
              </w:rPr>
            </w:pPr>
          </w:p>
          <w:p w:rsidR="00F320F6" w:rsidRPr="00F320F6" w:rsidRDefault="00F320F6" w:rsidP="00F320F6">
            <w:pPr>
              <w:ind w:right="1394"/>
              <w:rPr>
                <w:rStyle w:val="Hyperlink"/>
              </w:rPr>
            </w:pPr>
            <w:r w:rsidRPr="00F320F6">
              <w:rPr>
                <w:rStyle w:val="Hyperlink"/>
                <w:rFonts w:eastAsia="Times New Roman" w:cs="Times New Roman"/>
                <w:b/>
                <w:color w:val="00B0F0"/>
                <w:u w:val="none"/>
              </w:rPr>
              <w:t xml:space="preserve">Applicants for funding for </w:t>
            </w:r>
          </w:p>
          <w:p w:rsidR="00F320F6" w:rsidRPr="00F320F6" w:rsidRDefault="00F320F6" w:rsidP="00F320F6">
            <w:pPr>
              <w:ind w:right="872"/>
              <w:rPr>
                <w:rStyle w:val="Hyperlink"/>
              </w:rPr>
            </w:pPr>
            <w:r w:rsidRPr="00F320F6">
              <w:rPr>
                <w:rStyle w:val="Hyperlink"/>
                <w:rFonts w:eastAsia="Times New Roman" w:cs="Times New Roman"/>
                <w:b/>
                <w:color w:val="00B0F0"/>
                <w:u w:val="none"/>
              </w:rPr>
              <w:t xml:space="preserve">non-transport projects should complete </w:t>
            </w:r>
          </w:p>
          <w:p w:rsidR="00F320F6" w:rsidRPr="00F320F6" w:rsidRDefault="00F320F6" w:rsidP="00F320F6">
            <w:pPr>
              <w:ind w:right="872"/>
              <w:rPr>
                <w:rStyle w:val="Hyperlink"/>
              </w:rPr>
            </w:pPr>
            <w:r w:rsidRPr="00F320F6">
              <w:rPr>
                <w:rStyle w:val="Hyperlink"/>
                <w:rFonts w:eastAsia="Times New Roman" w:cs="Times New Roman"/>
                <w:b/>
                <w:color w:val="00B0F0"/>
                <w:u w:val="none"/>
              </w:rPr>
              <w:t>the blue sections only</w:t>
            </w:r>
          </w:p>
          <w:p w:rsidR="00F320F6" w:rsidRDefault="00F320F6" w:rsidP="00F320F6">
            <w:pPr>
              <w:rPr>
                <w:b/>
                <w:color w:val="808080" w:themeColor="background1" w:themeShade="80"/>
                <w:sz w:val="32"/>
                <w:szCs w:val="32"/>
              </w:rPr>
            </w:pPr>
          </w:p>
        </w:tc>
        <w:tc>
          <w:tcPr>
            <w:tcW w:w="5257" w:type="dxa"/>
            <w:vAlign w:val="bottom"/>
          </w:tcPr>
          <w:p w:rsidR="00F320F6" w:rsidRDefault="00F320F6" w:rsidP="00F320F6">
            <w:pPr>
              <w:ind w:right="1394"/>
              <w:rPr>
                <w:rStyle w:val="Hyperlink"/>
              </w:rPr>
            </w:pPr>
            <w:r w:rsidRPr="00C57175">
              <w:rPr>
                <w:rStyle w:val="Hyperlink"/>
                <w:rFonts w:eastAsia="Times New Roman" w:cs="Times New Roman"/>
                <w:b/>
                <w:color w:val="FFC000"/>
                <w:u w:val="none"/>
              </w:rPr>
              <w:t xml:space="preserve">Applicants for funding for </w:t>
            </w:r>
          </w:p>
          <w:p w:rsidR="00F320F6" w:rsidRPr="00C57175" w:rsidRDefault="00F320F6" w:rsidP="00F320F6">
            <w:pPr>
              <w:ind w:right="1394"/>
              <w:rPr>
                <w:rStyle w:val="Hyperlink"/>
              </w:rPr>
            </w:pPr>
            <w:r w:rsidRPr="00C57175">
              <w:rPr>
                <w:rStyle w:val="Hyperlink"/>
                <w:rFonts w:eastAsia="Times New Roman" w:cs="Times New Roman"/>
                <w:b/>
                <w:color w:val="FFC000"/>
                <w:u w:val="none"/>
              </w:rPr>
              <w:t>transport projects</w:t>
            </w:r>
            <w:r>
              <w:rPr>
                <w:rStyle w:val="Hyperlink"/>
                <w:rFonts w:eastAsia="Times New Roman" w:cs="Times New Roman"/>
                <w:b/>
                <w:color w:val="FFC000"/>
                <w:u w:val="none"/>
              </w:rPr>
              <w:t xml:space="preserve"> </w:t>
            </w:r>
            <w:r w:rsidRPr="00C57175">
              <w:rPr>
                <w:rStyle w:val="Hyperlink"/>
                <w:rFonts w:eastAsia="Times New Roman" w:cs="Times New Roman"/>
                <w:b/>
                <w:color w:val="FFC000"/>
                <w:u w:val="none"/>
              </w:rPr>
              <w:t xml:space="preserve">should complete both the </w:t>
            </w:r>
            <w:r w:rsidRPr="00F320F6">
              <w:rPr>
                <w:rStyle w:val="Hyperlink"/>
                <w:rFonts w:eastAsia="Times New Roman" w:cs="Times New Roman"/>
                <w:b/>
                <w:color w:val="00B0F0"/>
                <w:u w:val="none"/>
              </w:rPr>
              <w:t xml:space="preserve">blue </w:t>
            </w:r>
            <w:r w:rsidRPr="00C57175">
              <w:rPr>
                <w:rStyle w:val="Hyperlink"/>
                <w:rFonts w:eastAsia="Times New Roman" w:cs="Times New Roman"/>
                <w:b/>
                <w:color w:val="FFC000"/>
                <w:u w:val="none"/>
              </w:rPr>
              <w:t>and the orange sections</w:t>
            </w:r>
          </w:p>
          <w:p w:rsidR="00F320F6" w:rsidRDefault="00F320F6" w:rsidP="00F320F6">
            <w:pPr>
              <w:rPr>
                <w:b/>
                <w:color w:val="808080" w:themeColor="background1" w:themeShade="80"/>
                <w:sz w:val="32"/>
                <w:szCs w:val="32"/>
              </w:rPr>
            </w:pPr>
          </w:p>
        </w:tc>
      </w:tr>
    </w:tbl>
    <w:p w:rsidR="00F320F6" w:rsidRDefault="00F320F6" w:rsidP="00685C6D">
      <w:pPr>
        <w:spacing w:after="0" w:line="240" w:lineRule="auto"/>
        <w:rPr>
          <w:b/>
          <w:color w:val="808080" w:themeColor="background1" w:themeShade="80"/>
          <w:sz w:val="32"/>
          <w:szCs w:val="32"/>
        </w:rPr>
      </w:pPr>
    </w:p>
    <w:tbl>
      <w:tblPr>
        <w:tblStyle w:val="TableGrid"/>
        <w:tblW w:w="0" w:type="auto"/>
        <w:tblInd w:w="108" w:type="dxa"/>
        <w:tblLook w:val="04A0"/>
      </w:tblPr>
      <w:tblGrid>
        <w:gridCol w:w="2694"/>
        <w:gridCol w:w="7796"/>
      </w:tblGrid>
      <w:tr w:rsidR="00B34F20">
        <w:tc>
          <w:tcPr>
            <w:tcW w:w="10490" w:type="dxa"/>
            <w:gridSpan w:val="2"/>
            <w:tcBorders>
              <w:bottom w:val="single" w:sz="4" w:space="0" w:color="auto"/>
            </w:tcBorders>
            <w:shd w:val="clear" w:color="auto" w:fill="000000" w:themeFill="text1"/>
          </w:tcPr>
          <w:p w:rsidR="00B34F20" w:rsidRPr="00CC3E27" w:rsidRDefault="00B34F20" w:rsidP="00685C6D">
            <w:pPr>
              <w:pStyle w:val="ListParagraph"/>
              <w:numPr>
                <w:ilvl w:val="0"/>
                <w:numId w:val="1"/>
              </w:numPr>
              <w:ind w:left="601" w:hanging="567"/>
              <w:rPr>
                <w:b/>
                <w:sz w:val="24"/>
              </w:rPr>
            </w:pPr>
            <w:r w:rsidRPr="008C2F9C">
              <w:rPr>
                <w:b/>
                <w:sz w:val="24"/>
              </w:rPr>
              <w:t>PROJECT SUMMARY</w:t>
            </w:r>
          </w:p>
        </w:tc>
      </w:tr>
      <w:tr w:rsidR="00CC3E27">
        <w:tc>
          <w:tcPr>
            <w:tcW w:w="10490" w:type="dxa"/>
            <w:gridSpan w:val="2"/>
            <w:shd w:val="clear" w:color="auto" w:fill="auto"/>
          </w:tcPr>
          <w:p w:rsidR="00CC3E27" w:rsidRDefault="00CC3E27" w:rsidP="00685C6D">
            <w:pPr>
              <w:rPr>
                <w:b/>
              </w:rPr>
            </w:pPr>
          </w:p>
        </w:tc>
      </w:tr>
      <w:tr w:rsidR="00306FE5">
        <w:tc>
          <w:tcPr>
            <w:tcW w:w="2694" w:type="dxa"/>
            <w:shd w:val="clear" w:color="auto" w:fill="4BACC6" w:themeFill="accent5"/>
          </w:tcPr>
          <w:p w:rsidR="00770FFB" w:rsidRPr="00685C6D" w:rsidRDefault="008C2F9C" w:rsidP="008C2F9C">
            <w:pPr>
              <w:pStyle w:val="ListParagraph"/>
              <w:numPr>
                <w:ilvl w:val="1"/>
                <w:numId w:val="1"/>
              </w:numPr>
              <w:ind w:left="601" w:hanging="567"/>
              <w:rPr>
                <w:b/>
                <w:color w:val="FFFFFF" w:themeColor="background1"/>
              </w:rPr>
            </w:pPr>
            <w:r>
              <w:rPr>
                <w:b/>
                <w:color w:val="FFFFFF" w:themeColor="background1"/>
              </w:rPr>
              <w:t>Project n</w:t>
            </w:r>
            <w:r w:rsidR="009036B2">
              <w:rPr>
                <w:b/>
                <w:color w:val="FFFFFF" w:themeColor="background1"/>
              </w:rPr>
              <w:t>ame</w:t>
            </w:r>
          </w:p>
        </w:tc>
        <w:tc>
          <w:tcPr>
            <w:tcW w:w="7796" w:type="dxa"/>
          </w:tcPr>
          <w:p w:rsidR="00306FE5" w:rsidRDefault="001A68CD" w:rsidP="00685C6D">
            <w:pPr>
              <w:rPr>
                <w:b/>
              </w:rPr>
            </w:pPr>
            <w:r>
              <w:rPr>
                <w:b/>
              </w:rPr>
              <w:t>London Southend Airport Business Park</w:t>
            </w:r>
            <w:r w:rsidR="0044197C">
              <w:rPr>
                <w:b/>
              </w:rPr>
              <w:t xml:space="preserve"> (ABP)</w:t>
            </w:r>
            <w:r>
              <w:rPr>
                <w:b/>
              </w:rPr>
              <w:t xml:space="preserve"> – Phase 1 </w:t>
            </w:r>
            <w:r w:rsidR="006C58E3">
              <w:rPr>
                <w:b/>
              </w:rPr>
              <w:t>Infrastructure</w:t>
            </w:r>
          </w:p>
          <w:p w:rsidR="009036B2" w:rsidRDefault="009036B2" w:rsidP="00685C6D">
            <w:pPr>
              <w:rPr>
                <w:b/>
              </w:rPr>
            </w:pPr>
          </w:p>
        </w:tc>
      </w:tr>
      <w:tr w:rsidR="00975489">
        <w:tc>
          <w:tcPr>
            <w:tcW w:w="2694" w:type="dxa"/>
            <w:shd w:val="clear" w:color="auto" w:fill="FFC000"/>
          </w:tcPr>
          <w:p w:rsidR="00975489" w:rsidRDefault="00975489" w:rsidP="008C2F9C">
            <w:pPr>
              <w:pStyle w:val="ListParagraph"/>
              <w:numPr>
                <w:ilvl w:val="1"/>
                <w:numId w:val="1"/>
              </w:numPr>
              <w:ind w:left="601" w:hanging="567"/>
              <w:rPr>
                <w:b/>
                <w:color w:val="FFFFFF" w:themeColor="background1"/>
              </w:rPr>
            </w:pPr>
            <w:r>
              <w:rPr>
                <w:b/>
                <w:color w:val="FFFFFF" w:themeColor="background1"/>
              </w:rPr>
              <w:t>Project type</w:t>
            </w:r>
          </w:p>
        </w:tc>
        <w:tc>
          <w:tcPr>
            <w:tcW w:w="7796" w:type="dxa"/>
          </w:tcPr>
          <w:p w:rsidR="00975489" w:rsidRPr="00975489" w:rsidRDefault="001A68CD" w:rsidP="00685C6D">
            <w:pPr>
              <w:rPr>
                <w:i/>
              </w:rPr>
            </w:pPr>
            <w:r>
              <w:rPr>
                <w:i/>
              </w:rPr>
              <w:t>Non-transport project – enabling site infrastructure</w:t>
            </w:r>
          </w:p>
        </w:tc>
      </w:tr>
      <w:tr w:rsidR="004C543F">
        <w:tc>
          <w:tcPr>
            <w:tcW w:w="2694" w:type="dxa"/>
            <w:shd w:val="clear" w:color="auto" w:fill="4BACC6" w:themeFill="accent5"/>
          </w:tcPr>
          <w:p w:rsidR="004C543F" w:rsidRPr="00685C6D" w:rsidRDefault="009036B2" w:rsidP="009036B2">
            <w:pPr>
              <w:pStyle w:val="ListParagraph"/>
              <w:numPr>
                <w:ilvl w:val="1"/>
                <w:numId w:val="1"/>
              </w:numPr>
              <w:ind w:left="601" w:hanging="567"/>
              <w:rPr>
                <w:b/>
                <w:color w:val="FFFFFF" w:themeColor="background1"/>
              </w:rPr>
            </w:pPr>
            <w:r>
              <w:rPr>
                <w:b/>
                <w:color w:val="FFFFFF" w:themeColor="background1"/>
              </w:rPr>
              <w:t>Location</w:t>
            </w:r>
          </w:p>
        </w:tc>
        <w:tc>
          <w:tcPr>
            <w:tcW w:w="7796" w:type="dxa"/>
          </w:tcPr>
          <w:p w:rsidR="004C543F" w:rsidRDefault="001A68CD" w:rsidP="00685C6D">
            <w:pPr>
              <w:rPr>
                <w:b/>
              </w:rPr>
            </w:pPr>
            <w:r>
              <w:rPr>
                <w:b/>
              </w:rPr>
              <w:t>London Southend Airport, Southend-on-Sea</w:t>
            </w:r>
            <w:r w:rsidR="006C58E3">
              <w:rPr>
                <w:b/>
              </w:rPr>
              <w:t xml:space="preserve"> (land off Aviation Way)</w:t>
            </w:r>
          </w:p>
          <w:p w:rsidR="009036B2" w:rsidRDefault="009036B2" w:rsidP="00685C6D">
            <w:pPr>
              <w:rPr>
                <w:b/>
              </w:rPr>
            </w:pPr>
          </w:p>
        </w:tc>
      </w:tr>
      <w:tr w:rsidR="00306FE5">
        <w:tc>
          <w:tcPr>
            <w:tcW w:w="2694" w:type="dxa"/>
            <w:shd w:val="clear" w:color="auto" w:fill="4BACC6" w:themeFill="accent5"/>
          </w:tcPr>
          <w:p w:rsidR="00306FE5" w:rsidRPr="00685C6D" w:rsidRDefault="004C543F" w:rsidP="009036B2">
            <w:pPr>
              <w:pStyle w:val="ListParagraph"/>
              <w:numPr>
                <w:ilvl w:val="1"/>
                <w:numId w:val="1"/>
              </w:numPr>
              <w:ind w:left="601" w:hanging="567"/>
              <w:rPr>
                <w:b/>
                <w:color w:val="FFFFFF" w:themeColor="background1"/>
              </w:rPr>
            </w:pPr>
            <w:r w:rsidRPr="00685C6D">
              <w:rPr>
                <w:b/>
                <w:color w:val="FFFFFF" w:themeColor="background1"/>
              </w:rPr>
              <w:t>Local authority</w:t>
            </w:r>
            <w:r w:rsidR="009036B2">
              <w:rPr>
                <w:b/>
                <w:color w:val="FFFFFF" w:themeColor="background1"/>
              </w:rPr>
              <w:t xml:space="preserve"> area and postcode location</w:t>
            </w:r>
          </w:p>
        </w:tc>
        <w:tc>
          <w:tcPr>
            <w:tcW w:w="7796" w:type="dxa"/>
          </w:tcPr>
          <w:p w:rsidR="00306FE5" w:rsidRDefault="001A68CD" w:rsidP="00685C6D">
            <w:pPr>
              <w:rPr>
                <w:b/>
              </w:rPr>
            </w:pPr>
            <w:r>
              <w:rPr>
                <w:b/>
              </w:rPr>
              <w:t xml:space="preserve">Rochford District Council </w:t>
            </w:r>
          </w:p>
          <w:p w:rsidR="001A68CD" w:rsidRDefault="001A68CD" w:rsidP="00685C6D">
            <w:pPr>
              <w:rPr>
                <w:b/>
              </w:rPr>
            </w:pPr>
          </w:p>
          <w:p w:rsidR="001A68CD" w:rsidRDefault="001A68CD" w:rsidP="00685C6D">
            <w:pPr>
              <w:rPr>
                <w:b/>
              </w:rPr>
            </w:pPr>
            <w:r>
              <w:rPr>
                <w:b/>
              </w:rPr>
              <w:t>SS2 5RR</w:t>
            </w:r>
          </w:p>
        </w:tc>
      </w:tr>
      <w:tr w:rsidR="00306FE5">
        <w:tc>
          <w:tcPr>
            <w:tcW w:w="2694" w:type="dxa"/>
            <w:shd w:val="clear" w:color="auto" w:fill="4BACC6" w:themeFill="accent5"/>
          </w:tcPr>
          <w:p w:rsidR="00306FE5" w:rsidRPr="00685C6D" w:rsidRDefault="004C543F" w:rsidP="009036B2">
            <w:pPr>
              <w:pStyle w:val="ListParagraph"/>
              <w:numPr>
                <w:ilvl w:val="1"/>
                <w:numId w:val="1"/>
              </w:numPr>
              <w:ind w:left="601" w:hanging="567"/>
              <w:rPr>
                <w:b/>
                <w:color w:val="FFFFFF" w:themeColor="background1"/>
              </w:rPr>
            </w:pPr>
            <w:r w:rsidRPr="00685C6D">
              <w:rPr>
                <w:b/>
                <w:color w:val="FFFFFF" w:themeColor="background1"/>
              </w:rPr>
              <w:t>Brief description</w:t>
            </w:r>
          </w:p>
        </w:tc>
        <w:tc>
          <w:tcPr>
            <w:tcW w:w="7796" w:type="dxa"/>
          </w:tcPr>
          <w:p w:rsidR="00306FE5" w:rsidRDefault="00FB7461" w:rsidP="006A2893">
            <w:pPr>
              <w:jc w:val="both"/>
            </w:pPr>
            <w:r>
              <w:t>Southend on Sea Borough Council (the “Council”), in conjunction with its appointed development partner, Henry Boot Developments Limited (HBDL) is seeking £3.2m of Local Growth Funding</w:t>
            </w:r>
            <w:r w:rsidR="00B03E49">
              <w:t xml:space="preserve"> from the SELEP</w:t>
            </w:r>
            <w:r>
              <w:t xml:space="preserve"> to deliver the required enabling </w:t>
            </w:r>
            <w:r w:rsidR="000554E3">
              <w:t>off-</w:t>
            </w:r>
            <w:r>
              <w:t>site infrastructure to unlock the first phase of employment land at London Southend Airport Business Park. This is a 55</w:t>
            </w:r>
            <w:r w:rsidR="00B03E49">
              <w:t xml:space="preserve"> acre greenfield site, supported through an adopted Joint Area Action Plan</w:t>
            </w:r>
            <w:r>
              <w:t xml:space="preserve"> for employment uses, adjacent to the Airport operations</w:t>
            </w:r>
            <w:r w:rsidR="00B03E49">
              <w:t xml:space="preserve"> and an existing industrial estate, which is home to a number of aviation supply chain related businesses</w:t>
            </w:r>
            <w:r>
              <w:t>. The Council owns the freehold of the</w:t>
            </w:r>
            <w:r w:rsidR="001A55C6">
              <w:t xml:space="preserve"> site, the delivery of a </w:t>
            </w:r>
            <w:r w:rsidR="00B03E49">
              <w:t>proposed business park</w:t>
            </w:r>
            <w:r w:rsidR="001A55C6">
              <w:t xml:space="preserve"> on which</w:t>
            </w:r>
            <w:r>
              <w:t xml:space="preserve"> is seen as critical to not only support the continued growth of the Airport and </w:t>
            </w:r>
            <w:r w:rsidR="00B03E49">
              <w:t xml:space="preserve">its </w:t>
            </w:r>
            <w:r>
              <w:t>associated activities</w:t>
            </w:r>
            <w:r w:rsidR="00B03E49">
              <w:t xml:space="preserve"> as a key economic asset</w:t>
            </w:r>
            <w:r>
              <w:t xml:space="preserve"> but also to address the current lack of availability of hi</w:t>
            </w:r>
            <w:r w:rsidR="006C58E3">
              <w:t>gh quality employment land and premises</w:t>
            </w:r>
            <w:r>
              <w:t xml:space="preserve"> in </w:t>
            </w:r>
            <w:r w:rsidR="00A87778">
              <w:t xml:space="preserve">the area to promote </w:t>
            </w:r>
            <w:r w:rsidR="00B03E49">
              <w:t xml:space="preserve">the </w:t>
            </w:r>
            <w:r w:rsidR="00A87778">
              <w:t>econ</w:t>
            </w:r>
            <w:r w:rsidR="00B03E49">
              <w:t xml:space="preserve">omic growth and sustainability of the SELEP economy. </w:t>
            </w:r>
            <w:r w:rsidR="000554E3">
              <w:t>This is a rare opportunity to develop higher quality business space in the Southend area and t</w:t>
            </w:r>
            <w:r w:rsidR="001A55C6">
              <w:t xml:space="preserve">he business park will bring mutual benefits of direct employment and supporting the growth of the Airport itself. </w:t>
            </w:r>
          </w:p>
          <w:p w:rsidR="008537C7" w:rsidRDefault="008537C7" w:rsidP="006A2893">
            <w:pPr>
              <w:jc w:val="both"/>
            </w:pPr>
          </w:p>
          <w:p w:rsidR="00C7788E" w:rsidRDefault="008537C7" w:rsidP="006A2893">
            <w:pPr>
              <w:jc w:val="both"/>
            </w:pPr>
            <w:r>
              <w:t>An outline planning application for the business park site seeking detailed consent for the phase 1 infrastructure works</w:t>
            </w:r>
            <w:r w:rsidR="00C00310">
              <w:t xml:space="preserve"> was submitted by HBDL in October 2015 and</w:t>
            </w:r>
            <w:r>
              <w:t xml:space="preserve"> is currently under consideration</w:t>
            </w:r>
            <w:r w:rsidR="009F28A8">
              <w:t xml:space="preserve"> </w:t>
            </w:r>
            <w:r w:rsidR="00C00310">
              <w:t>by Rochford District Council</w:t>
            </w:r>
            <w:r w:rsidR="00B03E49">
              <w:t>,</w:t>
            </w:r>
            <w:r w:rsidR="00C00310">
              <w:t xml:space="preserve"> </w:t>
            </w:r>
            <w:r w:rsidR="009F28A8">
              <w:t xml:space="preserve">with a decision due in </w:t>
            </w:r>
            <w:r w:rsidR="00244B55">
              <w:t>February 2016</w:t>
            </w:r>
            <w:r w:rsidR="00664831">
              <w:t xml:space="preserve"> (along with a parallel </w:t>
            </w:r>
            <w:r w:rsidR="00C7788E">
              <w:t xml:space="preserve">hybrid </w:t>
            </w:r>
            <w:r w:rsidR="00664831">
              <w:t xml:space="preserve">application </w:t>
            </w:r>
            <w:r w:rsidR="00C7788E">
              <w:t>seeking outline consent for the relocation of the rugby club to an adjacent Council-owned site with detailed planning consent for site access and pitches</w:t>
            </w:r>
            <w:r w:rsidR="00664831">
              <w:t>)</w:t>
            </w:r>
            <w:r>
              <w:t xml:space="preserve">. </w:t>
            </w:r>
            <w:r w:rsidR="009F28A8">
              <w:t xml:space="preserve">With HBDL already in place as development partner, the intention is to deliver the phase 1 infrastructure works by </w:t>
            </w:r>
            <w:r w:rsidR="00850CBD">
              <w:t>December</w:t>
            </w:r>
            <w:r w:rsidR="009F28A8">
              <w:t xml:space="preserve"> 201</w:t>
            </w:r>
            <w:r w:rsidR="00850CBD">
              <w:t>6</w:t>
            </w:r>
            <w:r w:rsidR="00C7788E">
              <w:t>, a relocated rugby club facility by June 2017,</w:t>
            </w:r>
            <w:r w:rsidR="009F28A8">
              <w:t xml:space="preserve"> with the construction of</w:t>
            </w:r>
            <w:r w:rsidR="00C7788E">
              <w:t xml:space="preserve"> commercial</w:t>
            </w:r>
            <w:r w:rsidR="009F28A8">
              <w:t xml:space="preserve"> floorspace and subsequent occupation of this commencing in FY 2017/18. </w:t>
            </w:r>
          </w:p>
          <w:p w:rsidR="00C7788E" w:rsidRDefault="00C7788E" w:rsidP="006A2893">
            <w:pPr>
              <w:jc w:val="both"/>
            </w:pPr>
          </w:p>
          <w:p w:rsidR="008537C7" w:rsidRDefault="00664831" w:rsidP="006A2893">
            <w:pPr>
              <w:jc w:val="both"/>
            </w:pPr>
            <w:r>
              <w:t xml:space="preserve">The phase 1 </w:t>
            </w:r>
            <w:r w:rsidR="00B03E49">
              <w:t xml:space="preserve">infrastructure scheme </w:t>
            </w:r>
            <w:r w:rsidR="000554E3">
              <w:t>will</w:t>
            </w:r>
            <w:r w:rsidR="003500AB">
              <w:t xml:space="preserve"> unlock </w:t>
            </w:r>
            <w:r w:rsidR="00A87778">
              <w:t>22,000</w:t>
            </w:r>
            <w:r>
              <w:t xml:space="preserve"> sqm of new co</w:t>
            </w:r>
            <w:r w:rsidR="003500AB">
              <w:t xml:space="preserve">mmercial floorspace including </w:t>
            </w:r>
            <w:r w:rsidR="00B03E49">
              <w:t>17,5</w:t>
            </w:r>
            <w:r w:rsidR="00A87778">
              <w:t>00</w:t>
            </w:r>
            <w:r>
              <w:t xml:space="preserve"> sqm of high value B1 of</w:t>
            </w:r>
            <w:r w:rsidR="003500AB">
              <w:t>fice/R&amp;D based floorspace and 4,800</w:t>
            </w:r>
            <w:r>
              <w:t xml:space="preserve"> sqm of proposed hotel floorspace</w:t>
            </w:r>
            <w:r w:rsidR="00630DDD">
              <w:t xml:space="preserve"> (equating to a 100</w:t>
            </w:r>
            <w:r w:rsidR="00A87778">
              <w:t xml:space="preserve"> </w:t>
            </w:r>
            <w:r w:rsidR="003500AB">
              <w:t>bed hotel with leisure/conference facilities)</w:t>
            </w:r>
            <w:r>
              <w:t>. The Council is keen to ensure that the optimum use types are delivered on this first phase</w:t>
            </w:r>
            <w:r w:rsidR="003500AB">
              <w:t xml:space="preserve"> ‘gateway’</w:t>
            </w:r>
            <w:r>
              <w:t xml:space="preserve"> scheme to set the tone and quality for the remainder of the </w:t>
            </w:r>
            <w:r w:rsidR="003500AB">
              <w:t>site</w:t>
            </w:r>
            <w:r w:rsidR="00B03E49">
              <w:t>’s development</w:t>
            </w:r>
            <w:r w:rsidR="003500AB">
              <w:t xml:space="preserve">, </w:t>
            </w:r>
            <w:r w:rsidR="000554E3">
              <w:t xml:space="preserve">subsequent phases of which </w:t>
            </w:r>
            <w:r w:rsidR="003500AB">
              <w:t>will include advanced manufacturing/engineering uses, further office/R&amp;D/innovation floorspace</w:t>
            </w:r>
            <w:r>
              <w:t xml:space="preserve"> and </w:t>
            </w:r>
            <w:r w:rsidR="003500AB">
              <w:t>supporting</w:t>
            </w:r>
            <w:r>
              <w:t xml:space="preserve"> ancillary uses. </w:t>
            </w:r>
          </w:p>
          <w:p w:rsidR="009F28A8" w:rsidRDefault="009F28A8" w:rsidP="006A2893">
            <w:pPr>
              <w:jc w:val="both"/>
            </w:pPr>
          </w:p>
          <w:p w:rsidR="003500AB" w:rsidRDefault="009F28A8" w:rsidP="006A2893">
            <w:pPr>
              <w:jc w:val="both"/>
            </w:pPr>
            <w:r>
              <w:lastRenderedPageBreak/>
              <w:t xml:space="preserve">Through the first round of the Growth Deal, funding has already been secured to improve the strategic road network (A127) around Southend and to improve capacity at key junctions, to support the growth of not only Southend Town Centre but also the Airport Business Park, an identified employment priority for the Council and the SELEP. This phase 1 </w:t>
            </w:r>
            <w:r w:rsidR="003500AB">
              <w:t xml:space="preserve">infrastructure </w:t>
            </w:r>
            <w:r>
              <w:t xml:space="preserve">scheme will capitalise upon this to fund the </w:t>
            </w:r>
            <w:r w:rsidR="00A2546B">
              <w:t>off-</w:t>
            </w:r>
            <w:r>
              <w:t xml:space="preserve">site infrastructure required to </w:t>
            </w:r>
            <w:r w:rsidR="000554E3">
              <w:t xml:space="preserve">deliver </w:t>
            </w:r>
            <w:r>
              <w:t>this strategic employment site. LGF investment of £3.2m</w:t>
            </w:r>
            <w:r w:rsidR="006A2893">
              <w:t>,</w:t>
            </w:r>
            <w:r>
              <w:t xml:space="preserve"> </w:t>
            </w:r>
            <w:r w:rsidR="006A2893">
              <w:t xml:space="preserve">as specifically referenced in the Growth Deal expansion in January 2015, </w:t>
            </w:r>
            <w:r>
              <w:t xml:space="preserve">will </w:t>
            </w:r>
            <w:r w:rsidR="003500AB">
              <w:t xml:space="preserve">directly lever Southend Council </w:t>
            </w:r>
            <w:r w:rsidR="003500AB" w:rsidRPr="00E77A53">
              <w:t>investment of £5</w:t>
            </w:r>
            <w:r w:rsidR="00E77A53" w:rsidRPr="00E77A53">
              <w:t>.6</w:t>
            </w:r>
            <w:r w:rsidRPr="00E77A53">
              <w:t>m, which</w:t>
            </w:r>
            <w:r>
              <w:t xml:space="preserve"> will unlock an employment site with strong demand prospects a</w:t>
            </w:r>
            <w:r w:rsidR="003500AB">
              <w:t xml:space="preserve">nd the ability to accommodate </w:t>
            </w:r>
            <w:r w:rsidR="00EA4DEF">
              <w:t>1,080</w:t>
            </w:r>
            <w:r w:rsidR="003500AB">
              <w:t xml:space="preserve"> new</w:t>
            </w:r>
            <w:r>
              <w:t xml:space="preserve"> gross jobs. Furthermore, </w:t>
            </w:r>
            <w:r w:rsidR="006A2893">
              <w:t xml:space="preserve">the successful delivery of the phase 1 scheme will assist to </w:t>
            </w:r>
            <w:r w:rsidR="00A2546B">
              <w:t xml:space="preserve">enable </w:t>
            </w:r>
            <w:r w:rsidR="006A2893">
              <w:t xml:space="preserve">the wider development of the site, </w:t>
            </w:r>
            <w:r w:rsidR="003500AB">
              <w:t xml:space="preserve">which could deliver a further </w:t>
            </w:r>
            <w:r w:rsidR="00590924">
              <w:t>c.2,700</w:t>
            </w:r>
            <w:r w:rsidR="003500AB">
              <w:t xml:space="preserve"> new</w:t>
            </w:r>
            <w:r w:rsidR="006A2893">
              <w:t xml:space="preserve"> gross jobs once fully occupied. </w:t>
            </w:r>
            <w:r w:rsidR="003500AB">
              <w:t xml:space="preserve">LGF is being sought to fund </w:t>
            </w:r>
            <w:r w:rsidR="00B03E49">
              <w:t xml:space="preserve">required </w:t>
            </w:r>
            <w:r w:rsidR="003500AB">
              <w:t>off-site infrastructure</w:t>
            </w:r>
            <w:r w:rsidR="00B03E49">
              <w:t xml:space="preserve"> and site-wide drainage</w:t>
            </w:r>
            <w:r w:rsidR="003500AB">
              <w:t xml:space="preserve"> works and without this the phase 1 dev</w:t>
            </w:r>
            <w:r w:rsidR="00B03E49">
              <w:t xml:space="preserve">elopment will not come forward. </w:t>
            </w:r>
          </w:p>
          <w:p w:rsidR="003500AB" w:rsidRDefault="003500AB" w:rsidP="006A2893">
            <w:pPr>
              <w:jc w:val="both"/>
            </w:pPr>
          </w:p>
          <w:p w:rsidR="009F28A8" w:rsidRDefault="00CB332B" w:rsidP="006A2893">
            <w:pPr>
              <w:jc w:val="both"/>
            </w:pPr>
            <w:r>
              <w:t>The focus of the business park is on high value uses, linking into key identified</w:t>
            </w:r>
            <w:r w:rsidR="00B03E49">
              <w:t xml:space="preserve"> SELEP </w:t>
            </w:r>
            <w:r>
              <w:t xml:space="preserve">growth sectors such as life sciences </w:t>
            </w:r>
            <w:r w:rsidR="00B03E49">
              <w:t>and medical technologies,</w:t>
            </w:r>
            <w:r>
              <w:t xml:space="preserve"> building on existing local clusters and research strengths provided through Anglia Ruskin University.</w:t>
            </w:r>
            <w:r w:rsidR="00B03E49">
              <w:t xml:space="preserve"> Proposals for a </w:t>
            </w:r>
            <w:r w:rsidR="00D04969">
              <w:t>MedTech Innovation Centre are being developed as part of the wider site development beyond this phase 1 scheme.</w:t>
            </w:r>
            <w:r>
              <w:t xml:space="preserve"> </w:t>
            </w:r>
            <w:r w:rsidR="003A6822">
              <w:t xml:space="preserve">HBDL has already invested £0.5m </w:t>
            </w:r>
            <w:r w:rsidR="00D04969">
              <w:t xml:space="preserve">of its own funding </w:t>
            </w:r>
            <w:r w:rsidR="003A6822">
              <w:t xml:space="preserve">in site feasibility, masterplanning and </w:t>
            </w:r>
            <w:r w:rsidR="003500AB">
              <w:t>the development</w:t>
            </w:r>
            <w:r w:rsidR="00C7788E">
              <w:t xml:space="preserve"> and recent submission</w:t>
            </w:r>
            <w:r w:rsidR="003500AB">
              <w:t xml:space="preserve"> of</w:t>
            </w:r>
            <w:r w:rsidR="00C7788E">
              <w:t xml:space="preserve"> the two</w:t>
            </w:r>
            <w:r w:rsidR="003500AB">
              <w:t xml:space="preserve"> </w:t>
            </w:r>
            <w:r w:rsidR="003A6822">
              <w:t>planning</w:t>
            </w:r>
            <w:r w:rsidR="003500AB">
              <w:t xml:space="preserve"> applications</w:t>
            </w:r>
            <w:r w:rsidR="003A6822">
              <w:t xml:space="preserve"> and the Council has invested significant time and resource into progressing the scheme to the stage it is currently at. </w:t>
            </w:r>
          </w:p>
          <w:p w:rsidR="00E67C03" w:rsidRDefault="00E67C03" w:rsidP="006A2893">
            <w:pPr>
              <w:jc w:val="both"/>
            </w:pPr>
          </w:p>
          <w:p w:rsidR="00E67C03" w:rsidRDefault="00E67C03" w:rsidP="006A2893">
            <w:pPr>
              <w:jc w:val="both"/>
            </w:pPr>
            <w:r>
              <w:t>The latest site masterplan</w:t>
            </w:r>
            <w:r w:rsidR="00D04969">
              <w:t>, as prepared by Jefferson Sheard Architects,</w:t>
            </w:r>
            <w:r>
              <w:t xml:space="preserve"> is appended to this business case as well as a </w:t>
            </w:r>
            <w:r w:rsidR="00D04969">
              <w:t xml:space="preserve">highways </w:t>
            </w:r>
            <w:r>
              <w:t>plan</w:t>
            </w:r>
            <w:r w:rsidR="00D04969">
              <w:t xml:space="preserve">, prepared by Vectos, </w:t>
            </w:r>
            <w:r>
              <w:t xml:space="preserve">illustrating the site access proposals. The </w:t>
            </w:r>
            <w:r w:rsidR="001A2DBB">
              <w:t xml:space="preserve">six </w:t>
            </w:r>
            <w:r>
              <w:t xml:space="preserve">phase 1 development plots that will be directly unlocked as a result of the proposed infrastructure scheme include plots </w:t>
            </w:r>
            <w:r w:rsidR="001A2DBB">
              <w:t xml:space="preserve">2, 3, 4, 14, 15 and 16. </w:t>
            </w:r>
          </w:p>
          <w:p w:rsidR="009036B2" w:rsidRPr="00757F4F" w:rsidRDefault="009036B2" w:rsidP="00685C6D"/>
        </w:tc>
      </w:tr>
      <w:tr w:rsidR="004C543F">
        <w:tc>
          <w:tcPr>
            <w:tcW w:w="2694" w:type="dxa"/>
            <w:shd w:val="clear" w:color="auto" w:fill="4BACC6" w:themeFill="accent5"/>
          </w:tcPr>
          <w:p w:rsidR="004C543F" w:rsidRPr="00685C6D" w:rsidRDefault="004C543F" w:rsidP="009036B2">
            <w:pPr>
              <w:pStyle w:val="ListParagraph"/>
              <w:numPr>
                <w:ilvl w:val="1"/>
                <w:numId w:val="1"/>
              </w:numPr>
              <w:ind w:left="601" w:hanging="567"/>
              <w:rPr>
                <w:b/>
                <w:color w:val="FFFFFF" w:themeColor="background1"/>
              </w:rPr>
            </w:pPr>
            <w:r w:rsidRPr="00685C6D">
              <w:rPr>
                <w:b/>
                <w:color w:val="FFFFFF" w:themeColor="background1"/>
              </w:rPr>
              <w:lastRenderedPageBreak/>
              <w:t xml:space="preserve">Lead </w:t>
            </w:r>
            <w:r w:rsidR="009036B2">
              <w:rPr>
                <w:b/>
                <w:color w:val="FFFFFF" w:themeColor="background1"/>
              </w:rPr>
              <w:t>applicant</w:t>
            </w:r>
          </w:p>
        </w:tc>
        <w:tc>
          <w:tcPr>
            <w:tcW w:w="7796" w:type="dxa"/>
          </w:tcPr>
          <w:p w:rsidR="00757F4F" w:rsidRDefault="001A68CD" w:rsidP="00D04969">
            <w:pPr>
              <w:jc w:val="both"/>
            </w:pPr>
            <w:r>
              <w:t>Southend on Sea Borough Council (the Council is the LGF applicant and scheme promoter</w:t>
            </w:r>
            <w:r w:rsidR="00B81A0D">
              <w:t>/sponsor</w:t>
            </w:r>
            <w:r>
              <w:t xml:space="preserve"> and is working in close partnership with Henry Boot Developments Ltd (HBDL), it</w:t>
            </w:r>
            <w:r w:rsidR="00F8329C">
              <w:t>s appointed development partner</w:t>
            </w:r>
            <w:r>
              <w:t xml:space="preserve">. </w:t>
            </w:r>
          </w:p>
          <w:p w:rsidR="009036B2" w:rsidRPr="00757F4F" w:rsidRDefault="009036B2" w:rsidP="00685C6D"/>
        </w:tc>
      </w:tr>
      <w:tr w:rsidR="004C543F">
        <w:tc>
          <w:tcPr>
            <w:tcW w:w="2694" w:type="dxa"/>
            <w:shd w:val="clear" w:color="auto" w:fill="4BACC6" w:themeFill="accent5"/>
          </w:tcPr>
          <w:p w:rsidR="004C543F" w:rsidRPr="00685C6D" w:rsidRDefault="004C543F" w:rsidP="009036B2">
            <w:pPr>
              <w:pStyle w:val="ListParagraph"/>
              <w:numPr>
                <w:ilvl w:val="1"/>
                <w:numId w:val="1"/>
              </w:numPr>
              <w:ind w:left="601" w:hanging="567"/>
              <w:rPr>
                <w:b/>
                <w:color w:val="FFFFFF" w:themeColor="background1"/>
              </w:rPr>
            </w:pPr>
            <w:r w:rsidRPr="00685C6D">
              <w:rPr>
                <w:b/>
                <w:color w:val="FFFFFF" w:themeColor="background1"/>
              </w:rPr>
              <w:t>Total project value</w:t>
            </w:r>
          </w:p>
        </w:tc>
        <w:tc>
          <w:tcPr>
            <w:tcW w:w="7796" w:type="dxa"/>
          </w:tcPr>
          <w:p w:rsidR="005350DA" w:rsidRPr="00E77A53" w:rsidRDefault="003500AB" w:rsidP="00E77A53">
            <w:pPr>
              <w:jc w:val="both"/>
            </w:pPr>
            <w:r w:rsidRPr="00E77A53">
              <w:t>The total capital cost of the phase 1 infrastructur</w:t>
            </w:r>
            <w:r w:rsidR="00E77A53" w:rsidRPr="00E77A53">
              <w:t>e scheme is estimated to be £8.8</w:t>
            </w:r>
            <w:r w:rsidR="00D8684E">
              <w:t>2</w:t>
            </w:r>
            <w:r w:rsidR="00E77A53" w:rsidRPr="00E77A53">
              <w:t>m (excl. VAT). This is based on an indicative cost plan prepared by Burnley Wilson Fish Cost Consultants in October 2015</w:t>
            </w:r>
            <w:r w:rsidRPr="00E77A53">
              <w:t xml:space="preserve"> and includes the following</w:t>
            </w:r>
            <w:r w:rsidR="00E77A53" w:rsidRPr="00E77A53">
              <w:t xml:space="preserve"> key cost items</w:t>
            </w:r>
            <w:r w:rsidRPr="00E77A53">
              <w:t>:</w:t>
            </w:r>
          </w:p>
          <w:p w:rsidR="003500AB" w:rsidRPr="00E77A53" w:rsidRDefault="003500AB" w:rsidP="00E77A53">
            <w:pPr>
              <w:jc w:val="both"/>
            </w:pPr>
          </w:p>
          <w:p w:rsidR="003500AB" w:rsidRPr="0092334B" w:rsidRDefault="00E77A53" w:rsidP="00E77A53">
            <w:pPr>
              <w:pStyle w:val="ListParagraph"/>
              <w:numPr>
                <w:ilvl w:val="0"/>
                <w:numId w:val="30"/>
              </w:numPr>
              <w:jc w:val="both"/>
            </w:pPr>
            <w:r w:rsidRPr="00E77A53">
              <w:t>Business Park Phase 1 infrastructure - £</w:t>
            </w:r>
            <w:r w:rsidR="00D8684E">
              <w:t>4.93m</w:t>
            </w:r>
            <w:r w:rsidR="005F6082">
              <w:t xml:space="preserve">. </w:t>
            </w:r>
            <w:r w:rsidR="009309BD">
              <w:t>This includes both off-site an</w:t>
            </w:r>
            <w:r w:rsidR="005F6082">
              <w:t xml:space="preserve">d </w:t>
            </w:r>
            <w:r w:rsidR="005F6082" w:rsidRPr="0092334B">
              <w:t xml:space="preserve">on-site infrastructure costs and includes a contingency and inflationary allowance. </w:t>
            </w:r>
          </w:p>
          <w:p w:rsidR="00D66FA1" w:rsidRPr="0092334B" w:rsidRDefault="00E77A53" w:rsidP="00E77A53">
            <w:pPr>
              <w:pStyle w:val="ListParagraph"/>
              <w:numPr>
                <w:ilvl w:val="0"/>
                <w:numId w:val="30"/>
              </w:numPr>
              <w:jc w:val="both"/>
            </w:pPr>
            <w:r w:rsidRPr="0092334B">
              <w:t xml:space="preserve">New rugby club and pitches (including parking </w:t>
            </w:r>
            <w:r w:rsidR="00D8684E" w:rsidRPr="0092334B">
              <w:t xml:space="preserve">and access road) - £3.89m. </w:t>
            </w:r>
          </w:p>
          <w:p w:rsidR="009036B2" w:rsidRPr="0092334B" w:rsidRDefault="009036B2" w:rsidP="00E77A53">
            <w:pPr>
              <w:pStyle w:val="ListParagraph"/>
              <w:ind w:left="360"/>
            </w:pPr>
          </w:p>
          <w:p w:rsidR="00E77A53" w:rsidRPr="00E77A53" w:rsidRDefault="00E77A53" w:rsidP="0092334B">
            <w:pPr>
              <w:jc w:val="both"/>
              <w:rPr>
                <w:highlight w:val="yellow"/>
              </w:rPr>
            </w:pPr>
            <w:r w:rsidRPr="0092334B">
              <w:t xml:space="preserve">The expected gross development value of the completed phase 1 scheme once fully built out and let is </w:t>
            </w:r>
            <w:r w:rsidR="0092334B" w:rsidRPr="0092334B">
              <w:t>c.</w:t>
            </w:r>
            <w:r w:rsidRPr="0092334B">
              <w:t>£</w:t>
            </w:r>
            <w:r w:rsidR="0092334B" w:rsidRPr="0092334B">
              <w:t>41</w:t>
            </w:r>
            <w:r w:rsidRPr="0092334B">
              <w:t>m, b</w:t>
            </w:r>
            <w:r w:rsidR="00D04969" w:rsidRPr="0092334B">
              <w:t>ased upon on a phase 1 development appraisal prepared by HBDL (as appended to this business case)</w:t>
            </w:r>
            <w:r w:rsidR="001A55C6" w:rsidRPr="0092334B">
              <w:t xml:space="preserve">. This appraisal demonstrates the need for LGF to realise </w:t>
            </w:r>
            <w:r w:rsidR="00447DFE" w:rsidRPr="0092334B">
              <w:t>the delivery of the proposed scheme.</w:t>
            </w:r>
            <w:r w:rsidR="001A55C6" w:rsidRPr="0092334B">
              <w:t xml:space="preserve"> </w:t>
            </w:r>
          </w:p>
        </w:tc>
      </w:tr>
      <w:tr w:rsidR="004C543F">
        <w:tc>
          <w:tcPr>
            <w:tcW w:w="2694" w:type="dxa"/>
            <w:shd w:val="clear" w:color="auto" w:fill="4BACC6" w:themeFill="accent5"/>
          </w:tcPr>
          <w:p w:rsidR="004C543F" w:rsidRPr="00685C6D" w:rsidRDefault="009036B2" w:rsidP="009036B2">
            <w:pPr>
              <w:pStyle w:val="ListParagraph"/>
              <w:numPr>
                <w:ilvl w:val="1"/>
                <w:numId w:val="1"/>
              </w:numPr>
              <w:ind w:left="601" w:hanging="567"/>
              <w:rPr>
                <w:b/>
                <w:color w:val="FFFFFF" w:themeColor="background1"/>
              </w:rPr>
            </w:pPr>
            <w:r>
              <w:rPr>
                <w:b/>
                <w:color w:val="FFFFFF" w:themeColor="background1"/>
              </w:rPr>
              <w:t>SELEP funding</w:t>
            </w:r>
            <w:r w:rsidR="004C543F" w:rsidRPr="00685C6D">
              <w:rPr>
                <w:b/>
                <w:color w:val="FFFFFF" w:themeColor="background1"/>
              </w:rPr>
              <w:t xml:space="preserve"> request</w:t>
            </w:r>
            <w:r>
              <w:rPr>
                <w:b/>
                <w:color w:val="FFFFFF" w:themeColor="background1"/>
              </w:rPr>
              <w:t>, including type (e.g. LGF, GPF etc.)</w:t>
            </w:r>
          </w:p>
        </w:tc>
        <w:tc>
          <w:tcPr>
            <w:tcW w:w="7796" w:type="dxa"/>
          </w:tcPr>
          <w:p w:rsidR="006E5B68" w:rsidRPr="00757F4F" w:rsidRDefault="005350DA" w:rsidP="005350DA">
            <w:r>
              <w:t>£3.2m of LGF from the SELEP is</w:t>
            </w:r>
            <w:r w:rsidR="00DC2E14">
              <w:t xml:space="preserve"> being sought to </w:t>
            </w:r>
            <w:r>
              <w:t xml:space="preserve">facilitate the </w:t>
            </w:r>
            <w:r w:rsidR="00DC2E14">
              <w:t>deliver</w:t>
            </w:r>
            <w:r>
              <w:t>y of</w:t>
            </w:r>
            <w:r w:rsidR="00DC2E14">
              <w:t xml:space="preserve"> the phase 1 </w:t>
            </w:r>
            <w:r w:rsidR="006A2893">
              <w:t xml:space="preserve">infrastructure </w:t>
            </w:r>
            <w:r w:rsidR="00DC2E14">
              <w:t xml:space="preserve">project. </w:t>
            </w:r>
          </w:p>
        </w:tc>
      </w:tr>
      <w:tr w:rsidR="004C543F">
        <w:tc>
          <w:tcPr>
            <w:tcW w:w="2694" w:type="dxa"/>
            <w:shd w:val="clear" w:color="auto" w:fill="4BACC6" w:themeFill="accent5"/>
          </w:tcPr>
          <w:p w:rsidR="004C543F" w:rsidRPr="00685C6D" w:rsidRDefault="003D10EA" w:rsidP="009036B2">
            <w:pPr>
              <w:pStyle w:val="ListParagraph"/>
              <w:numPr>
                <w:ilvl w:val="1"/>
                <w:numId w:val="1"/>
              </w:numPr>
              <w:ind w:left="601" w:hanging="567"/>
              <w:rPr>
                <w:b/>
                <w:color w:val="FFFFFF" w:themeColor="background1"/>
              </w:rPr>
            </w:pPr>
            <w:r>
              <w:rPr>
                <w:b/>
                <w:color w:val="FFFFFF" w:themeColor="background1"/>
              </w:rPr>
              <w:t>Rationale for SELEP request</w:t>
            </w:r>
          </w:p>
        </w:tc>
        <w:tc>
          <w:tcPr>
            <w:tcW w:w="7796" w:type="dxa"/>
          </w:tcPr>
          <w:p w:rsidR="009309BD" w:rsidRDefault="006A2893" w:rsidP="00C7788E">
            <w:pPr>
              <w:jc w:val="both"/>
            </w:pPr>
            <w:r>
              <w:t xml:space="preserve">LGF funding through the SELEP is being sought to </w:t>
            </w:r>
            <w:r w:rsidR="00C7788E">
              <w:t xml:space="preserve">largely </w:t>
            </w:r>
            <w:r>
              <w:t xml:space="preserve">fund required </w:t>
            </w:r>
            <w:r w:rsidR="003500AB">
              <w:t xml:space="preserve">off-site </w:t>
            </w:r>
            <w:r>
              <w:t>enabling works to unlock a major strategic employment site for high value private secto</w:t>
            </w:r>
            <w:r w:rsidR="003500AB">
              <w:t xml:space="preserve">r business occupation. </w:t>
            </w:r>
            <w:r w:rsidR="009309BD">
              <w:t xml:space="preserve">LGF funding will deliver off-site highway infrastructure </w:t>
            </w:r>
            <w:r w:rsidR="009309BD">
              <w:lastRenderedPageBreak/>
              <w:t>that is required to unlock the site, incoming service infrastructure (electricity, water, gas a</w:t>
            </w:r>
            <w:r w:rsidR="00C7788E">
              <w:t>nd telecoms) and strategic site-</w:t>
            </w:r>
            <w:r w:rsidR="009309BD">
              <w:t xml:space="preserve">wide drainage infrastructure. </w:t>
            </w:r>
          </w:p>
          <w:p w:rsidR="009309BD" w:rsidRDefault="009309BD" w:rsidP="00C7788E">
            <w:pPr>
              <w:jc w:val="both"/>
            </w:pPr>
          </w:p>
          <w:p w:rsidR="003500AB" w:rsidRDefault="003500AB" w:rsidP="00C7788E">
            <w:pPr>
              <w:jc w:val="both"/>
            </w:pPr>
            <w:r>
              <w:t xml:space="preserve">The Council has allocated a pot of funding from its capital programme </w:t>
            </w:r>
            <w:r w:rsidR="00CF62A6">
              <w:t xml:space="preserve">to invest in required </w:t>
            </w:r>
            <w:r w:rsidR="00CF62A6" w:rsidRPr="00C7788E">
              <w:rPr>
                <w:i/>
              </w:rPr>
              <w:t>on-site</w:t>
            </w:r>
            <w:r w:rsidR="00CF62A6">
              <w:t xml:space="preserve"> infrastructure works across the site to </w:t>
            </w:r>
            <w:r w:rsidR="009309BD">
              <w:t>unlock a</w:t>
            </w:r>
            <w:r w:rsidR="00CF62A6">
              <w:t xml:space="preserve"> </w:t>
            </w:r>
            <w:r w:rsidR="009309BD">
              <w:t xml:space="preserve">comprehensive </w:t>
            </w:r>
            <w:r w:rsidR="00CF62A6">
              <w:t xml:space="preserve">phase 1 development </w:t>
            </w:r>
            <w:r w:rsidR="009309BD">
              <w:t>scheme.</w:t>
            </w:r>
            <w:r w:rsidR="00CF62A6">
              <w:t xml:space="preserve"> However, </w:t>
            </w:r>
            <w:r w:rsidR="00C7788E">
              <w:t xml:space="preserve">there is a need for </w:t>
            </w:r>
            <w:r w:rsidR="00CF62A6">
              <w:t xml:space="preserve">further </w:t>
            </w:r>
            <w:r w:rsidR="00C7788E">
              <w:t xml:space="preserve">public sector </w:t>
            </w:r>
            <w:r w:rsidR="00CF62A6">
              <w:t xml:space="preserve">investment </w:t>
            </w:r>
            <w:r w:rsidR="00C7788E">
              <w:t xml:space="preserve">over and above the Council’s Phase 1 funding commitment </w:t>
            </w:r>
            <w:r w:rsidR="00CF62A6">
              <w:t xml:space="preserve">to deliver the required </w:t>
            </w:r>
            <w:r w:rsidR="00CF62A6" w:rsidRPr="00C7788E">
              <w:rPr>
                <w:i/>
              </w:rPr>
              <w:t>off-site</w:t>
            </w:r>
            <w:r w:rsidR="00CF62A6">
              <w:t xml:space="preserve"> infrastructure works to enable the delive</w:t>
            </w:r>
            <w:r w:rsidR="00D04969">
              <w:t>ry of the phase 1 scheme and to assist to unlock the</w:t>
            </w:r>
            <w:r w:rsidR="00CF62A6">
              <w:t xml:space="preserve"> wider site. A £3.2m LGF award w</w:t>
            </w:r>
            <w:r w:rsidR="009309BD">
              <w:t>ill directly lever a further £5.6</w:t>
            </w:r>
            <w:r w:rsidR="00CF62A6">
              <w:t xml:space="preserve">m from the Council which will be sufficient to fund the required infrastructure costs to </w:t>
            </w:r>
            <w:r w:rsidR="00C7788E">
              <w:t>unlock a</w:t>
            </w:r>
            <w:r w:rsidR="00CF62A6">
              <w:t xml:space="preserve"> ph</w:t>
            </w:r>
            <w:r w:rsidR="009309BD">
              <w:t xml:space="preserve">ase 1 </w:t>
            </w:r>
            <w:r w:rsidR="00C7788E">
              <w:t xml:space="preserve">commercial development employment </w:t>
            </w:r>
            <w:r w:rsidR="009309BD">
              <w:t>scheme. This includes £3.6</w:t>
            </w:r>
            <w:r w:rsidR="00CF62A6">
              <w:t>m from the Council to relocate the rugby club, a pre</w:t>
            </w:r>
            <w:r w:rsidR="00EA4DEF">
              <w:t xml:space="preserve">requisite for site development as a planning condition. </w:t>
            </w:r>
          </w:p>
          <w:p w:rsidR="003500AB" w:rsidRDefault="003500AB" w:rsidP="00C7788E">
            <w:pPr>
              <w:jc w:val="both"/>
            </w:pPr>
          </w:p>
          <w:p w:rsidR="00CB332B" w:rsidRDefault="00CB332B" w:rsidP="00C7788E">
            <w:pPr>
              <w:jc w:val="both"/>
            </w:pPr>
            <w:r>
              <w:t xml:space="preserve">There is an evidenced need for additional new employment land within the local economy and this was tested and accepted as part of the Examination in Public and adoption of the Joint Area Action Plan for the Airport Business Park site. It is recognised that the site is </w:t>
            </w:r>
            <w:r w:rsidR="00C00310">
              <w:t xml:space="preserve">the only accessible location that is large enough to accommodate the forecasted levels of employment growth. </w:t>
            </w:r>
            <w:r w:rsidR="00FA172F">
              <w:t xml:space="preserve">There is also evidence of live occupier enquiries for floorspace on the site which will not be able to be met in the absence of LGF funding. This will therefore inhibit the economic growth and inward investment prospects of the local economy in the absence of the LGF funding request. </w:t>
            </w:r>
          </w:p>
          <w:p w:rsidR="006A2893" w:rsidRDefault="006A2893" w:rsidP="00C7788E">
            <w:pPr>
              <w:jc w:val="both"/>
            </w:pPr>
          </w:p>
          <w:p w:rsidR="009309BD" w:rsidRDefault="00FA172F" w:rsidP="00C7788E">
            <w:pPr>
              <w:jc w:val="both"/>
            </w:pPr>
            <w:r>
              <w:t>As</w:t>
            </w:r>
            <w:r w:rsidR="00C00310">
              <w:t xml:space="preserve"> is the case across many part of the South East and wider UK, there remain a number of financial viability issues on large scale strategic sites </w:t>
            </w:r>
            <w:r>
              <w:t xml:space="preserve">such as this </w:t>
            </w:r>
            <w:r w:rsidR="00C00310">
              <w:t>with significa</w:t>
            </w:r>
            <w:r>
              <w:t>nt upfront ‘abnormal’ infrastructure needs</w:t>
            </w:r>
            <w:r w:rsidR="00CF62A6">
              <w:t>, particularly where off-site investments are needed to unlock delivery</w:t>
            </w:r>
            <w:r>
              <w:t xml:space="preserve">. This means that the cost of development exceeds the expected completed development value and the market is not therefore able to secure the necessary funding to invest in the site without public sector funding support. This can be demonstrated through the appended development appraisal which identifies the </w:t>
            </w:r>
            <w:r w:rsidR="009309BD">
              <w:t xml:space="preserve">need for LGF funding support to deliver the phase 1 scheme. </w:t>
            </w:r>
            <w:r w:rsidR="00C7788E">
              <w:t>The LGF need is therefore to fund the off-site infrastructure costs and site-wide drainage costs which will ultimately benefit the ABP site as a whole.</w:t>
            </w:r>
          </w:p>
          <w:p w:rsidR="009036B2" w:rsidRPr="006E5B68" w:rsidRDefault="009036B2" w:rsidP="00685C6D"/>
        </w:tc>
      </w:tr>
      <w:tr w:rsidR="004C543F">
        <w:tc>
          <w:tcPr>
            <w:tcW w:w="2694" w:type="dxa"/>
            <w:shd w:val="clear" w:color="auto" w:fill="4BACC6" w:themeFill="accent5"/>
          </w:tcPr>
          <w:p w:rsidR="004C543F" w:rsidRPr="00685C6D" w:rsidRDefault="003D10EA" w:rsidP="009036B2">
            <w:pPr>
              <w:pStyle w:val="ListParagraph"/>
              <w:numPr>
                <w:ilvl w:val="1"/>
                <w:numId w:val="1"/>
              </w:numPr>
              <w:ind w:left="601" w:hanging="567"/>
              <w:rPr>
                <w:b/>
                <w:color w:val="FFFFFF" w:themeColor="background1"/>
              </w:rPr>
            </w:pPr>
            <w:r>
              <w:rPr>
                <w:b/>
                <w:color w:val="FFFFFF" w:themeColor="background1"/>
              </w:rPr>
              <w:lastRenderedPageBreak/>
              <w:t>Other funding sources</w:t>
            </w:r>
          </w:p>
        </w:tc>
        <w:tc>
          <w:tcPr>
            <w:tcW w:w="7796" w:type="dxa"/>
          </w:tcPr>
          <w:p w:rsidR="009036B2" w:rsidRDefault="00DC2E14" w:rsidP="009309BD">
            <w:pPr>
              <w:jc w:val="both"/>
            </w:pPr>
            <w:r w:rsidRPr="009309BD">
              <w:t>Southend on Sea Borough Council</w:t>
            </w:r>
            <w:r w:rsidR="005350DA" w:rsidRPr="009309BD">
              <w:t xml:space="preserve"> </w:t>
            </w:r>
            <w:r w:rsidR="009309BD" w:rsidRPr="009309BD">
              <w:t xml:space="preserve">has provisionally allocated £5.6m from its Capital Programme to fund required on-site infrastructure works to deliver the phase 1 infrastructure needs. This will be formally secured subject to a successful LGF award. </w:t>
            </w:r>
          </w:p>
          <w:p w:rsidR="005F6082" w:rsidRDefault="005F6082" w:rsidP="009309BD">
            <w:pPr>
              <w:jc w:val="both"/>
            </w:pPr>
          </w:p>
          <w:p w:rsidR="005F6082" w:rsidRPr="009309BD" w:rsidRDefault="005F6082" w:rsidP="009309BD">
            <w:pPr>
              <w:jc w:val="both"/>
            </w:pPr>
            <w:r>
              <w:t xml:space="preserve">Southend Council is also contributing its land to the project which has an indicative market value of c.£20m. </w:t>
            </w:r>
          </w:p>
          <w:p w:rsidR="005350DA" w:rsidRPr="009309BD" w:rsidRDefault="005350DA" w:rsidP="009309BD">
            <w:pPr>
              <w:jc w:val="both"/>
            </w:pPr>
          </w:p>
          <w:p w:rsidR="005350DA" w:rsidRPr="00A40FB4" w:rsidRDefault="009309BD" w:rsidP="0092334B">
            <w:pPr>
              <w:jc w:val="both"/>
            </w:pPr>
            <w:r>
              <w:t xml:space="preserve">Once the phase 1 infrastructure is in place, this will then unlock significant private sector </w:t>
            </w:r>
            <w:r w:rsidRPr="0092334B">
              <w:t>investment from HBDL in the delivery of the commercial floorspace. The total construction cost of the phase 1 built development</w:t>
            </w:r>
            <w:r w:rsidR="0092334B" w:rsidRPr="0092334B">
              <w:t xml:space="preserve"> (excluding infrastructure) is c.£27m.</w:t>
            </w:r>
            <w:r>
              <w:t xml:space="preserve"> </w:t>
            </w:r>
          </w:p>
        </w:tc>
      </w:tr>
      <w:tr w:rsidR="009036B2">
        <w:tc>
          <w:tcPr>
            <w:tcW w:w="2694" w:type="dxa"/>
            <w:shd w:val="clear" w:color="auto" w:fill="4BACC6" w:themeFill="accent5"/>
          </w:tcPr>
          <w:p w:rsidR="009036B2" w:rsidRPr="00685C6D" w:rsidRDefault="003D10EA" w:rsidP="009036B2">
            <w:pPr>
              <w:pStyle w:val="ListParagraph"/>
              <w:numPr>
                <w:ilvl w:val="1"/>
                <w:numId w:val="1"/>
              </w:numPr>
              <w:ind w:left="601" w:hanging="567"/>
              <w:rPr>
                <w:b/>
                <w:color w:val="FFFFFF" w:themeColor="background1"/>
              </w:rPr>
            </w:pPr>
            <w:r>
              <w:rPr>
                <w:b/>
                <w:color w:val="FFFFFF" w:themeColor="background1"/>
              </w:rPr>
              <w:t>Delivery partners</w:t>
            </w:r>
          </w:p>
        </w:tc>
        <w:tc>
          <w:tcPr>
            <w:tcW w:w="7796" w:type="dxa"/>
          </w:tcPr>
          <w:p w:rsidR="009036B2" w:rsidRDefault="009036B2" w:rsidP="00685C6D"/>
          <w:tbl>
            <w:tblPr>
              <w:tblStyle w:val="TableGrid"/>
              <w:tblW w:w="0" w:type="auto"/>
              <w:tblLook w:val="04A0"/>
            </w:tblPr>
            <w:tblGrid>
              <w:gridCol w:w="2836"/>
              <w:gridCol w:w="4610"/>
            </w:tblGrid>
            <w:tr w:rsidR="003D10EA" w:rsidTr="006A2893">
              <w:tc>
                <w:tcPr>
                  <w:tcW w:w="2836" w:type="dxa"/>
                </w:tcPr>
                <w:p w:rsidR="003D10EA" w:rsidRDefault="003D10EA" w:rsidP="00685C6D">
                  <w:r>
                    <w:t>Partner</w:t>
                  </w:r>
                </w:p>
              </w:tc>
              <w:tc>
                <w:tcPr>
                  <w:tcW w:w="4610" w:type="dxa"/>
                </w:tcPr>
                <w:p w:rsidR="003D10EA" w:rsidRDefault="003D10EA" w:rsidP="00685C6D">
                  <w:r>
                    <w:t>Nature and/or value of involvement (financial, operational etc)</w:t>
                  </w:r>
                </w:p>
              </w:tc>
            </w:tr>
            <w:tr w:rsidR="003D10EA" w:rsidTr="006A2893">
              <w:tc>
                <w:tcPr>
                  <w:tcW w:w="2836" w:type="dxa"/>
                </w:tcPr>
                <w:p w:rsidR="003D10EA" w:rsidRDefault="005350DA" w:rsidP="00685C6D">
                  <w:r>
                    <w:t>Henry Boot Developments Ltd</w:t>
                  </w:r>
                </w:p>
              </w:tc>
              <w:tc>
                <w:tcPr>
                  <w:tcW w:w="4610" w:type="dxa"/>
                </w:tcPr>
                <w:p w:rsidR="003D10EA" w:rsidRDefault="005350DA" w:rsidP="00685C6D">
                  <w:r>
                    <w:t xml:space="preserve">Council’s appointed development partner for the site with commitment to </w:t>
                  </w:r>
                  <w:r w:rsidR="006A2893">
                    <w:t xml:space="preserve">secure the relevant planning consents and </w:t>
                  </w:r>
                  <w:r>
                    <w:t>develop the site out to meet occupier demand</w:t>
                  </w:r>
                  <w:r w:rsidR="006A2893">
                    <w:t xml:space="preserve"> in accordance with the agreed Development Agreement in place with </w:t>
                  </w:r>
                  <w:r w:rsidR="006A2893">
                    <w:lastRenderedPageBreak/>
                    <w:t>the Council</w:t>
                  </w:r>
                </w:p>
              </w:tc>
            </w:tr>
            <w:tr w:rsidR="003D10EA" w:rsidTr="006A2893">
              <w:tc>
                <w:tcPr>
                  <w:tcW w:w="2836" w:type="dxa"/>
                </w:tcPr>
                <w:p w:rsidR="003D10EA" w:rsidRDefault="005350DA" w:rsidP="00685C6D">
                  <w:r>
                    <w:lastRenderedPageBreak/>
                    <w:t>Rochford District Council</w:t>
                  </w:r>
                </w:p>
              </w:tc>
              <w:tc>
                <w:tcPr>
                  <w:tcW w:w="4610" w:type="dxa"/>
                </w:tcPr>
                <w:p w:rsidR="003D10EA" w:rsidRDefault="005350DA" w:rsidP="006A2893">
                  <w:r>
                    <w:t xml:space="preserve">Local Planning Authority and </w:t>
                  </w:r>
                  <w:r w:rsidR="00D04969">
                    <w:t>partner</w:t>
                  </w:r>
                  <w:r>
                    <w:t xml:space="preserve"> of the adopted Joint Area Action Plan for the site. </w:t>
                  </w:r>
                </w:p>
              </w:tc>
            </w:tr>
          </w:tbl>
          <w:p w:rsidR="003D10EA" w:rsidRPr="00A40FB4" w:rsidRDefault="003D10EA" w:rsidP="00685C6D"/>
        </w:tc>
      </w:tr>
      <w:tr w:rsidR="009036B2">
        <w:tc>
          <w:tcPr>
            <w:tcW w:w="2694" w:type="dxa"/>
            <w:shd w:val="clear" w:color="auto" w:fill="4BACC6" w:themeFill="accent5"/>
          </w:tcPr>
          <w:p w:rsidR="009036B2" w:rsidRPr="00685C6D" w:rsidRDefault="003D10EA" w:rsidP="009036B2">
            <w:pPr>
              <w:pStyle w:val="ListParagraph"/>
              <w:numPr>
                <w:ilvl w:val="1"/>
                <w:numId w:val="1"/>
              </w:numPr>
              <w:ind w:left="601" w:hanging="567"/>
              <w:rPr>
                <w:b/>
                <w:color w:val="FFFFFF" w:themeColor="background1"/>
              </w:rPr>
            </w:pPr>
            <w:r w:rsidRPr="00685C6D">
              <w:rPr>
                <w:b/>
                <w:color w:val="FFFFFF" w:themeColor="background1"/>
              </w:rPr>
              <w:lastRenderedPageBreak/>
              <w:t>Start date</w:t>
            </w:r>
          </w:p>
        </w:tc>
        <w:tc>
          <w:tcPr>
            <w:tcW w:w="7796" w:type="dxa"/>
          </w:tcPr>
          <w:p w:rsidR="009036B2" w:rsidRDefault="005350DA" w:rsidP="00AC32D4">
            <w:pPr>
              <w:jc w:val="both"/>
            </w:pPr>
            <w:r>
              <w:t>HB</w:t>
            </w:r>
            <w:r w:rsidR="006A2893">
              <w:t xml:space="preserve">DL has submitted two linked </w:t>
            </w:r>
            <w:r w:rsidR="00FA172F">
              <w:t xml:space="preserve">and </w:t>
            </w:r>
            <w:r>
              <w:t>hybrid</w:t>
            </w:r>
            <w:r w:rsidR="00FA172F">
              <w:t xml:space="preserve"> outline</w:t>
            </w:r>
            <w:r>
              <w:t xml:space="preserve"> planning applications which are expected to go before a February </w:t>
            </w:r>
            <w:r w:rsidR="006A2893">
              <w:t xml:space="preserve">Rochford District Council </w:t>
            </w:r>
            <w:r>
              <w:t xml:space="preserve">Planning Committee. </w:t>
            </w:r>
            <w:r w:rsidR="00512CC2">
              <w:t>The current proposals are for a June</w:t>
            </w:r>
            <w:r w:rsidR="0044197C">
              <w:t>/July</w:t>
            </w:r>
            <w:r w:rsidR="00512CC2">
              <w:t xml:space="preserve"> 2016 start on site d</w:t>
            </w:r>
            <w:r w:rsidR="0044197C">
              <w:t xml:space="preserve">ate for the infrastructure works delivery/construction. </w:t>
            </w:r>
          </w:p>
          <w:p w:rsidR="005350DA" w:rsidRPr="00A40FB4" w:rsidRDefault="005350DA" w:rsidP="00AC32D4">
            <w:pPr>
              <w:jc w:val="both"/>
            </w:pPr>
          </w:p>
        </w:tc>
      </w:tr>
      <w:tr w:rsidR="009036B2">
        <w:tc>
          <w:tcPr>
            <w:tcW w:w="2694" w:type="dxa"/>
            <w:shd w:val="clear" w:color="auto" w:fill="4BACC6" w:themeFill="accent5"/>
          </w:tcPr>
          <w:p w:rsidR="009036B2" w:rsidRPr="00685C6D" w:rsidRDefault="003D10EA" w:rsidP="003D10EA">
            <w:pPr>
              <w:pStyle w:val="ListParagraph"/>
              <w:numPr>
                <w:ilvl w:val="1"/>
                <w:numId w:val="1"/>
              </w:numPr>
              <w:ind w:left="601" w:hanging="567"/>
              <w:rPr>
                <w:b/>
                <w:color w:val="FFFFFF" w:themeColor="background1"/>
              </w:rPr>
            </w:pPr>
            <w:r>
              <w:rPr>
                <w:b/>
                <w:color w:val="FFFFFF" w:themeColor="background1"/>
              </w:rPr>
              <w:t>Practical c</w:t>
            </w:r>
            <w:r w:rsidRPr="00685C6D">
              <w:rPr>
                <w:b/>
                <w:color w:val="FFFFFF" w:themeColor="background1"/>
              </w:rPr>
              <w:t>ompletion date</w:t>
            </w:r>
          </w:p>
        </w:tc>
        <w:tc>
          <w:tcPr>
            <w:tcW w:w="7796" w:type="dxa"/>
          </w:tcPr>
          <w:p w:rsidR="009036B2" w:rsidRPr="00A40FB4" w:rsidRDefault="00512CC2" w:rsidP="00AC32D4">
            <w:pPr>
              <w:jc w:val="both"/>
            </w:pPr>
            <w:r>
              <w:t>It is proposed that the phase 1 infrastructure</w:t>
            </w:r>
            <w:r w:rsidR="006A2893">
              <w:t xml:space="preserve"> scheme</w:t>
            </w:r>
            <w:r>
              <w:t xml:space="preserve"> would be delivered and all LGF spent by </w:t>
            </w:r>
            <w:r w:rsidR="00AC32D4">
              <w:t>December 2017 as per the latest scheme Ganntt chart/delivery programme.</w:t>
            </w:r>
            <w:r w:rsidR="0044197C">
              <w:t xml:space="preserve"> The Council-funded delivery of the new rugby club will follow on from this but all construction will be complete by the end of June 2017.</w:t>
            </w:r>
            <w:r w:rsidR="00AC32D4">
              <w:t xml:space="preserve"> Even accounting for any slippage to this, the Council is willing to commit to spend the LGF by FY ending March 2017. </w:t>
            </w:r>
            <w:r>
              <w:t xml:space="preserve"> </w:t>
            </w:r>
          </w:p>
        </w:tc>
      </w:tr>
      <w:tr w:rsidR="00975489">
        <w:tc>
          <w:tcPr>
            <w:tcW w:w="2694" w:type="dxa"/>
            <w:shd w:val="clear" w:color="auto" w:fill="4BACC6" w:themeFill="accent5"/>
          </w:tcPr>
          <w:p w:rsidR="00975489" w:rsidRDefault="00975489" w:rsidP="003D10EA">
            <w:pPr>
              <w:pStyle w:val="ListParagraph"/>
              <w:numPr>
                <w:ilvl w:val="1"/>
                <w:numId w:val="1"/>
              </w:numPr>
              <w:ind w:left="601" w:hanging="567"/>
              <w:rPr>
                <w:b/>
                <w:color w:val="FFFFFF" w:themeColor="background1"/>
              </w:rPr>
            </w:pPr>
            <w:r>
              <w:rPr>
                <w:b/>
                <w:color w:val="FFFFFF" w:themeColor="background1"/>
              </w:rPr>
              <w:t>Project development stage</w:t>
            </w:r>
          </w:p>
        </w:tc>
        <w:tc>
          <w:tcPr>
            <w:tcW w:w="7796" w:type="dxa"/>
          </w:tcPr>
          <w:p w:rsidR="00975489" w:rsidRPr="00975489" w:rsidRDefault="00512CC2" w:rsidP="00AC32D4">
            <w:pPr>
              <w:jc w:val="both"/>
              <w:rPr>
                <w:i/>
              </w:rPr>
            </w:pPr>
            <w:r>
              <w:t>The phase 1 project is currently awaiting a planning decision, although the site is already allocated for employment uses within the adopted Joint Area Action Plan. A site masterplan has been prepared and feasibility work</w:t>
            </w:r>
            <w:r w:rsidR="0044197C">
              <w:t xml:space="preserve"> is largely complete. Technical/detailed </w:t>
            </w:r>
            <w:r>
              <w:t xml:space="preserve">design is the next stage and will be progressed subject to an LGF funding award to enable a </w:t>
            </w:r>
            <w:r w:rsidR="0044197C">
              <w:t>start on site date of June 2016 for the infrastructure works.</w:t>
            </w:r>
            <w:r>
              <w:t xml:space="preserve"> </w:t>
            </w:r>
            <w:r w:rsidR="00975489">
              <w:rPr>
                <w:i/>
              </w:rPr>
              <w:t xml:space="preserve"> </w:t>
            </w:r>
          </w:p>
        </w:tc>
      </w:tr>
      <w:tr w:rsidR="003D10EA">
        <w:tc>
          <w:tcPr>
            <w:tcW w:w="2694" w:type="dxa"/>
            <w:shd w:val="clear" w:color="auto" w:fill="4BACC6" w:themeFill="accent5"/>
          </w:tcPr>
          <w:p w:rsidR="003D10EA" w:rsidRDefault="003D10EA" w:rsidP="003D10EA">
            <w:pPr>
              <w:pStyle w:val="ListParagraph"/>
              <w:numPr>
                <w:ilvl w:val="1"/>
                <w:numId w:val="1"/>
              </w:numPr>
              <w:ind w:left="601" w:hanging="567"/>
              <w:rPr>
                <w:b/>
                <w:color w:val="FFFFFF" w:themeColor="background1"/>
              </w:rPr>
            </w:pPr>
            <w:r>
              <w:rPr>
                <w:b/>
                <w:color w:val="FFFFFF" w:themeColor="background1"/>
              </w:rPr>
              <w:t>Proposed completion of outputs</w:t>
            </w:r>
          </w:p>
        </w:tc>
        <w:tc>
          <w:tcPr>
            <w:tcW w:w="7796" w:type="dxa"/>
          </w:tcPr>
          <w:p w:rsidR="003D10EA" w:rsidRPr="00A40FB4" w:rsidRDefault="007D13FB" w:rsidP="00AC32D4">
            <w:pPr>
              <w:jc w:val="both"/>
            </w:pPr>
            <w:r>
              <w:t>It is proposed that the phase 1 infrastructure works will be completed by March 2017, after which the design and build of the commercial floorspace can commence and is proposed to do so subject to securing</w:t>
            </w:r>
            <w:r w:rsidR="00BB018D">
              <w:t xml:space="preserve"> occupier demand, the prospects of which are considered high based on known interests/enquiries and the scale/profile of the site. </w:t>
            </w:r>
          </w:p>
        </w:tc>
      </w:tr>
      <w:tr w:rsidR="008C2F9C">
        <w:tc>
          <w:tcPr>
            <w:tcW w:w="2694" w:type="dxa"/>
            <w:shd w:val="clear" w:color="auto" w:fill="4BACC6" w:themeFill="accent5"/>
          </w:tcPr>
          <w:p w:rsidR="008C2F9C" w:rsidRPr="007D13FB" w:rsidRDefault="008C2F9C" w:rsidP="007D13FB">
            <w:pPr>
              <w:pStyle w:val="ListParagraph"/>
              <w:numPr>
                <w:ilvl w:val="1"/>
                <w:numId w:val="1"/>
              </w:numPr>
              <w:ind w:left="601" w:hanging="567"/>
              <w:jc w:val="both"/>
              <w:rPr>
                <w:b/>
                <w:color w:val="FFFFFF" w:themeColor="background1"/>
              </w:rPr>
            </w:pPr>
            <w:r w:rsidRPr="007D13FB">
              <w:rPr>
                <w:b/>
                <w:color w:val="FFFFFF" w:themeColor="background1"/>
              </w:rPr>
              <w:t>Links to other SELEP projects, if applicable</w:t>
            </w:r>
          </w:p>
        </w:tc>
        <w:tc>
          <w:tcPr>
            <w:tcW w:w="7796" w:type="dxa"/>
          </w:tcPr>
          <w:p w:rsidR="008C2F9C" w:rsidRPr="00A7292C" w:rsidRDefault="007D13FB" w:rsidP="007D13FB">
            <w:pPr>
              <w:jc w:val="both"/>
              <w:rPr>
                <w:rFonts w:cs="Arial"/>
                <w:color w:val="000000" w:themeColor="text1"/>
              </w:rPr>
            </w:pPr>
            <w:r w:rsidRPr="007D13FB">
              <w:t xml:space="preserve">In the first round of the Growth Deal, </w:t>
            </w:r>
            <w:r w:rsidRPr="007D13FB">
              <w:rPr>
                <w:rFonts w:cs="Arial"/>
              </w:rPr>
              <w:t>Southend-on-Sea Borough Council, as part of the Thames Gateway South Essex Partnership and in partnership with Essex County Council, secured funding for the A127 to improve the road network and increa</w:t>
            </w:r>
            <w:r>
              <w:rPr>
                <w:rFonts w:cs="Arial"/>
              </w:rPr>
              <w:t xml:space="preserve">se capacity at key junctions. </w:t>
            </w:r>
            <w:r w:rsidRPr="007D13FB">
              <w:rPr>
                <w:rFonts w:cs="Arial"/>
              </w:rPr>
              <w:t>These improvements will not only unlock economic growth in Southend town centre but are also integral changes to unlock the potential of the Airport Business Park.</w:t>
            </w:r>
            <w:r w:rsidR="00FA172F">
              <w:rPr>
                <w:rFonts w:cs="Arial"/>
              </w:rPr>
              <w:t xml:space="preserve"> This project will directly complement these already funded strategic highways </w:t>
            </w:r>
            <w:r w:rsidR="00FA172F" w:rsidRPr="00A7292C">
              <w:rPr>
                <w:rFonts w:cs="Arial"/>
                <w:color w:val="000000" w:themeColor="text1"/>
              </w:rPr>
              <w:t xml:space="preserve">projects and will provide the site specific infrastructure required to maximise the opportunity that exists. </w:t>
            </w:r>
          </w:p>
          <w:p w:rsidR="00FA172F" w:rsidRPr="00A7292C" w:rsidRDefault="00FA172F" w:rsidP="007D13FB">
            <w:pPr>
              <w:jc w:val="both"/>
              <w:rPr>
                <w:rFonts w:cs="Arial"/>
                <w:color w:val="000000" w:themeColor="text1"/>
              </w:rPr>
            </w:pPr>
          </w:p>
          <w:p w:rsidR="00FA172F" w:rsidRPr="00A7292C" w:rsidRDefault="00FA172F" w:rsidP="00FA172F">
            <w:pPr>
              <w:jc w:val="both"/>
              <w:rPr>
                <w:rFonts w:cs="Arial"/>
                <w:color w:val="000000" w:themeColor="text1"/>
              </w:rPr>
            </w:pPr>
            <w:r w:rsidRPr="00A7292C">
              <w:rPr>
                <w:rFonts w:cs="Arial"/>
                <w:color w:val="000000" w:themeColor="text1"/>
              </w:rPr>
              <w:t xml:space="preserve">A further LGF application is being developed in this round of </w:t>
            </w:r>
            <w:r w:rsidR="00A7292C">
              <w:rPr>
                <w:rFonts w:cs="Arial"/>
                <w:color w:val="000000" w:themeColor="text1"/>
              </w:rPr>
              <w:t>funding</w:t>
            </w:r>
            <w:r w:rsidRPr="00A7292C">
              <w:rPr>
                <w:rFonts w:cs="Arial"/>
                <w:color w:val="000000" w:themeColor="text1"/>
              </w:rPr>
              <w:t xml:space="preserve"> for a project called ‘</w:t>
            </w:r>
            <w:r w:rsidRPr="00A7292C">
              <w:rPr>
                <w:color w:val="000000" w:themeColor="text1"/>
              </w:rPr>
              <w:t xml:space="preserve">CONNECT’. This is a pan-LEP project with the Cumbria LEP and the project builds on the newly announced route </w:t>
            </w:r>
            <w:r w:rsidR="00A7292C" w:rsidRPr="00A7292C">
              <w:rPr>
                <w:color w:val="000000" w:themeColor="text1"/>
              </w:rPr>
              <w:t>between Carlisle and Southend A</w:t>
            </w:r>
            <w:r w:rsidRPr="00A7292C">
              <w:rPr>
                <w:color w:val="000000" w:themeColor="text1"/>
              </w:rPr>
              <w:t>irports to deliver infrastructure development at both airports</w:t>
            </w:r>
            <w:r w:rsidR="00A7292C" w:rsidRPr="00A7292C">
              <w:rPr>
                <w:color w:val="000000" w:themeColor="text1"/>
              </w:rPr>
              <w:t>, whilst</w:t>
            </w:r>
            <w:r w:rsidRPr="00A7292C">
              <w:rPr>
                <w:color w:val="000000" w:themeColor="text1"/>
              </w:rPr>
              <w:t xml:space="preserve"> also recognising the trade / skills / investment / tourism opportunities as a result which, with the ABP being the nearest large employment site to the airport (and certainly the most high profile) will be beneficial for the business park.  </w:t>
            </w:r>
            <w:r w:rsidR="00A7292C" w:rsidRPr="00A7292C">
              <w:rPr>
                <w:color w:val="000000" w:themeColor="text1"/>
              </w:rPr>
              <w:t xml:space="preserve">The proposed scheme therefore fully aligns with this CONNECT project. </w:t>
            </w:r>
          </w:p>
          <w:p w:rsidR="00FA172F" w:rsidRDefault="00FA172F" w:rsidP="007D13FB">
            <w:pPr>
              <w:jc w:val="both"/>
              <w:rPr>
                <w:rFonts w:cs="Arial"/>
              </w:rPr>
            </w:pPr>
          </w:p>
          <w:p w:rsidR="007D13FB" w:rsidRPr="007D13FB" w:rsidRDefault="00A7292C" w:rsidP="00244B55">
            <w:pPr>
              <w:jc w:val="both"/>
            </w:pPr>
            <w:r>
              <w:rPr>
                <w:rFonts w:cs="Arial"/>
              </w:rPr>
              <w:t xml:space="preserve">The Council is also intending to submit a further </w:t>
            </w:r>
            <w:r w:rsidR="0081101D">
              <w:rPr>
                <w:rFonts w:cs="Arial"/>
              </w:rPr>
              <w:t>LGF funding request</w:t>
            </w:r>
            <w:r w:rsidR="00244B55">
              <w:rPr>
                <w:rFonts w:cs="Arial"/>
              </w:rPr>
              <w:t xml:space="preserve"> for a phase 2 scheme</w:t>
            </w:r>
            <w:r w:rsidR="0081101D">
              <w:rPr>
                <w:rFonts w:cs="Arial"/>
              </w:rPr>
              <w:t xml:space="preserve"> in </w:t>
            </w:r>
            <w:r w:rsidR="00244B55">
              <w:rPr>
                <w:rFonts w:cs="Arial"/>
              </w:rPr>
              <w:t>the next round of the Growth Deal</w:t>
            </w:r>
            <w:r w:rsidR="0081101D">
              <w:rPr>
                <w:rFonts w:cs="Arial"/>
              </w:rPr>
              <w:t xml:space="preserve"> for prioritisation as a South Essex </w:t>
            </w:r>
            <w:r w:rsidR="00244B55">
              <w:rPr>
                <w:rFonts w:cs="Arial"/>
              </w:rPr>
              <w:t>scheme</w:t>
            </w:r>
            <w:r w:rsidR="0081101D">
              <w:rPr>
                <w:rFonts w:cs="Arial"/>
              </w:rPr>
              <w:t xml:space="preserve"> in order to be put forward as a priority </w:t>
            </w:r>
            <w:r w:rsidR="00A5322F">
              <w:rPr>
                <w:rFonts w:cs="Arial"/>
              </w:rPr>
              <w:t xml:space="preserve">investment </w:t>
            </w:r>
            <w:r w:rsidR="0081101D">
              <w:rPr>
                <w:rFonts w:cs="Arial"/>
              </w:rPr>
              <w:t xml:space="preserve">project for the </w:t>
            </w:r>
            <w:r w:rsidR="00A5322F">
              <w:rPr>
                <w:rFonts w:cs="Arial"/>
              </w:rPr>
              <w:t>SELEP (aiming for an OBC to be presented to</w:t>
            </w:r>
            <w:r w:rsidR="0081101D">
              <w:rPr>
                <w:rFonts w:cs="Arial"/>
              </w:rPr>
              <w:t xml:space="preserve"> the June 2016 SELEP Accountability Board Meeting). This will be for phase 2 site infrastructure works to unlock the wider site and could also include a funding request to support the </w:t>
            </w:r>
            <w:r w:rsidR="00A5322F">
              <w:rPr>
                <w:rFonts w:cs="Arial"/>
              </w:rPr>
              <w:t xml:space="preserve">direct </w:t>
            </w:r>
            <w:r w:rsidR="0081101D">
              <w:rPr>
                <w:rFonts w:cs="Arial"/>
              </w:rPr>
              <w:t>delivery of a MedTech focused innovation centre</w:t>
            </w:r>
            <w:r w:rsidR="00AC32D4">
              <w:rPr>
                <w:rFonts w:cs="Arial"/>
              </w:rPr>
              <w:t xml:space="preserve"> (along with further Council funding and possible other sources through ERDF, for example)</w:t>
            </w:r>
            <w:r w:rsidR="0081101D">
              <w:rPr>
                <w:rFonts w:cs="Arial"/>
              </w:rPr>
              <w:t xml:space="preserve">. </w:t>
            </w:r>
            <w:r w:rsidR="00A5322F">
              <w:rPr>
                <w:rFonts w:cs="Arial"/>
              </w:rPr>
              <w:t xml:space="preserve">The details of this are being developed at present. </w:t>
            </w:r>
          </w:p>
        </w:tc>
      </w:tr>
    </w:tbl>
    <w:p w:rsidR="009036B2" w:rsidRDefault="009036B2" w:rsidP="00685C6D">
      <w:pPr>
        <w:spacing w:after="0" w:line="240" w:lineRule="auto"/>
        <w:rPr>
          <w:b/>
        </w:rPr>
      </w:pPr>
    </w:p>
    <w:tbl>
      <w:tblPr>
        <w:tblStyle w:val="TableGrid"/>
        <w:tblW w:w="0" w:type="auto"/>
        <w:tblInd w:w="108" w:type="dxa"/>
        <w:tblLook w:val="04A0"/>
      </w:tblPr>
      <w:tblGrid>
        <w:gridCol w:w="2694"/>
        <w:gridCol w:w="7796"/>
      </w:tblGrid>
      <w:tr w:rsidR="008C2F9C">
        <w:tc>
          <w:tcPr>
            <w:tcW w:w="10490" w:type="dxa"/>
            <w:gridSpan w:val="2"/>
            <w:tcBorders>
              <w:bottom w:val="single" w:sz="4" w:space="0" w:color="auto"/>
            </w:tcBorders>
            <w:shd w:val="clear" w:color="auto" w:fill="000000" w:themeFill="text1"/>
          </w:tcPr>
          <w:p w:rsidR="008C2F9C" w:rsidRPr="00CC3E27" w:rsidRDefault="009036B2" w:rsidP="00CC3E27">
            <w:pPr>
              <w:pStyle w:val="ListParagraph"/>
              <w:numPr>
                <w:ilvl w:val="0"/>
                <w:numId w:val="1"/>
              </w:numPr>
              <w:ind w:left="601" w:hanging="567"/>
              <w:rPr>
                <w:b/>
                <w:sz w:val="24"/>
              </w:rPr>
            </w:pPr>
            <w:r>
              <w:rPr>
                <w:b/>
              </w:rPr>
              <w:br w:type="page"/>
            </w:r>
            <w:r w:rsidR="008C2F9C" w:rsidRPr="000B0193">
              <w:rPr>
                <w:b/>
                <w:sz w:val="24"/>
              </w:rPr>
              <w:t>STRATEGIC CASE</w:t>
            </w:r>
          </w:p>
        </w:tc>
      </w:tr>
      <w:tr w:rsidR="00CC3E27">
        <w:tc>
          <w:tcPr>
            <w:tcW w:w="10490" w:type="dxa"/>
            <w:gridSpan w:val="2"/>
            <w:shd w:val="clear" w:color="auto" w:fill="FFFFFF" w:themeFill="background1"/>
          </w:tcPr>
          <w:p w:rsidR="00CC3E27" w:rsidRPr="008C2F9C" w:rsidRDefault="00CC3E27" w:rsidP="00CC3E27">
            <w:pPr>
              <w:rPr>
                <w:i/>
              </w:rPr>
            </w:pPr>
            <w:r>
              <w:rPr>
                <w:i/>
              </w:rPr>
              <w:t xml:space="preserve">The strategic case determines whether the scheme presents a robust case for change, and how it contributes to </w:t>
            </w:r>
            <w:r>
              <w:rPr>
                <w:i/>
              </w:rPr>
              <w:lastRenderedPageBreak/>
              <w:t xml:space="preserve">delivery of the SEP and SELEP’s wider policy and strategic objectives. </w:t>
            </w:r>
          </w:p>
          <w:p w:rsidR="00CC3E27" w:rsidRDefault="00CC3E27" w:rsidP="00717D45">
            <w:pPr>
              <w:ind w:left="67"/>
              <w:rPr>
                <w:i/>
              </w:rPr>
            </w:pPr>
          </w:p>
        </w:tc>
      </w:tr>
      <w:tr w:rsidR="004C543F">
        <w:tc>
          <w:tcPr>
            <w:tcW w:w="2694" w:type="dxa"/>
            <w:shd w:val="clear" w:color="auto" w:fill="4BACC6" w:themeFill="accent5"/>
          </w:tcPr>
          <w:p w:rsidR="004C543F" w:rsidRDefault="00717D45" w:rsidP="00B34F20">
            <w:pPr>
              <w:pStyle w:val="ListParagraph"/>
              <w:numPr>
                <w:ilvl w:val="1"/>
                <w:numId w:val="1"/>
              </w:numPr>
              <w:ind w:left="601" w:hanging="601"/>
              <w:rPr>
                <w:b/>
                <w:color w:val="FFFFFF" w:themeColor="background1"/>
              </w:rPr>
            </w:pPr>
            <w:r>
              <w:rPr>
                <w:b/>
                <w:color w:val="FFFFFF" w:themeColor="background1"/>
              </w:rPr>
              <w:lastRenderedPageBreak/>
              <w:t>Challenge or opportunity to be addressed</w:t>
            </w:r>
          </w:p>
          <w:p w:rsidR="00717D45" w:rsidRPr="00685C6D" w:rsidRDefault="00717D45" w:rsidP="00B34F20">
            <w:pPr>
              <w:pStyle w:val="ListParagraph"/>
              <w:ind w:left="601" w:hanging="601"/>
              <w:rPr>
                <w:b/>
                <w:color w:val="FFFFFF" w:themeColor="background1"/>
              </w:rPr>
            </w:pPr>
          </w:p>
        </w:tc>
        <w:tc>
          <w:tcPr>
            <w:tcW w:w="7796" w:type="dxa"/>
          </w:tcPr>
          <w:p w:rsidR="007779C0" w:rsidRDefault="00205229" w:rsidP="00717D45">
            <w:pPr>
              <w:ind w:left="67"/>
              <w:rPr>
                <w:i/>
              </w:rPr>
            </w:pPr>
            <w:r>
              <w:rPr>
                <w:i/>
              </w:rPr>
              <w:t xml:space="preserve">Describe the key characteristics of the challenge to be addressed and the opportunity presented. Provide an overview of the evidence supporting this and the impact of not progressing the scheme.  </w:t>
            </w:r>
          </w:p>
          <w:p w:rsidR="007D13FB" w:rsidRDefault="007D13FB" w:rsidP="00717D45">
            <w:pPr>
              <w:ind w:left="67"/>
              <w:rPr>
                <w:i/>
              </w:rPr>
            </w:pPr>
          </w:p>
          <w:p w:rsidR="008819AE" w:rsidRDefault="007779C0" w:rsidP="00AC32D4">
            <w:pPr>
              <w:rPr>
                <w:i/>
              </w:rPr>
            </w:pPr>
            <w:r>
              <w:rPr>
                <w:i/>
              </w:rPr>
              <w:t>What is the need?</w:t>
            </w:r>
          </w:p>
          <w:p w:rsidR="00F60886" w:rsidRDefault="00F60886" w:rsidP="00717D45">
            <w:pPr>
              <w:ind w:left="67"/>
              <w:rPr>
                <w:i/>
              </w:rPr>
            </w:pPr>
          </w:p>
          <w:p w:rsidR="00012878" w:rsidRDefault="00012878" w:rsidP="00F60886">
            <w:pPr>
              <w:autoSpaceDE w:val="0"/>
              <w:autoSpaceDN w:val="0"/>
              <w:adjustRightInd w:val="0"/>
              <w:jc w:val="both"/>
              <w:rPr>
                <w:rFonts w:cs="FuturaLtBT"/>
              </w:rPr>
            </w:pPr>
            <w:r>
              <w:rPr>
                <w:rFonts w:cs="FuturaLtBT"/>
              </w:rPr>
              <w:t xml:space="preserve">There are a number of </w:t>
            </w:r>
            <w:r w:rsidR="00650EEA">
              <w:rPr>
                <w:rFonts w:cs="FuturaLtBT"/>
              </w:rPr>
              <w:t>key challenges that this project is seeking to address and  opportunities that it is seeking to capitalise upon and these are discussed in turn below:</w:t>
            </w:r>
          </w:p>
          <w:p w:rsidR="00650EEA" w:rsidRDefault="00650EEA" w:rsidP="00F60886">
            <w:pPr>
              <w:autoSpaceDE w:val="0"/>
              <w:autoSpaceDN w:val="0"/>
              <w:adjustRightInd w:val="0"/>
              <w:jc w:val="both"/>
              <w:rPr>
                <w:rFonts w:cs="FuturaLtBT"/>
              </w:rPr>
            </w:pPr>
          </w:p>
          <w:p w:rsidR="00650EEA" w:rsidRDefault="00664831" w:rsidP="00650EEA">
            <w:pPr>
              <w:pStyle w:val="ListParagraph"/>
              <w:numPr>
                <w:ilvl w:val="0"/>
                <w:numId w:val="20"/>
              </w:numPr>
              <w:autoSpaceDE w:val="0"/>
              <w:autoSpaceDN w:val="0"/>
              <w:adjustRightInd w:val="0"/>
              <w:jc w:val="both"/>
              <w:rPr>
                <w:rFonts w:cs="FuturaLtBT"/>
                <w:b/>
              </w:rPr>
            </w:pPr>
            <w:r>
              <w:rPr>
                <w:rFonts w:cs="FuturaLtBT"/>
                <w:b/>
              </w:rPr>
              <w:t>Addressing a l</w:t>
            </w:r>
            <w:r w:rsidR="00650EEA" w:rsidRPr="00650EEA">
              <w:rPr>
                <w:rFonts w:cs="FuturaLtBT"/>
                <w:b/>
              </w:rPr>
              <w:t>ack of high quality employment land/premises</w:t>
            </w:r>
          </w:p>
          <w:p w:rsidR="00650EEA" w:rsidRDefault="00650EEA" w:rsidP="00650EEA">
            <w:pPr>
              <w:pStyle w:val="ListParagraph"/>
              <w:autoSpaceDE w:val="0"/>
              <w:autoSpaceDN w:val="0"/>
              <w:adjustRightInd w:val="0"/>
              <w:ind w:left="360"/>
              <w:jc w:val="both"/>
              <w:rPr>
                <w:rFonts w:cs="FuturaLtBT"/>
                <w:b/>
              </w:rPr>
            </w:pPr>
          </w:p>
          <w:p w:rsidR="00650EEA" w:rsidRPr="00621DC2" w:rsidRDefault="00650EEA" w:rsidP="00E75105">
            <w:pPr>
              <w:autoSpaceDE w:val="0"/>
              <w:autoSpaceDN w:val="0"/>
              <w:adjustRightInd w:val="0"/>
              <w:jc w:val="both"/>
              <w:rPr>
                <w:rFonts w:cs="FuturaLtBT"/>
                <w:color w:val="000000" w:themeColor="text1"/>
              </w:rPr>
            </w:pPr>
            <w:r w:rsidRPr="008321C4">
              <w:rPr>
                <w:rFonts w:cs="FuturaLtBT"/>
              </w:rPr>
              <w:t xml:space="preserve">The </w:t>
            </w:r>
            <w:r>
              <w:rPr>
                <w:rFonts w:cs="FuturaLtBT"/>
              </w:rPr>
              <w:t xml:space="preserve">JAAP identifies that the </w:t>
            </w:r>
            <w:r w:rsidRPr="008321C4">
              <w:rPr>
                <w:rFonts w:cs="FuturaLtBT"/>
              </w:rPr>
              <w:t>release of land for the provision of a high quali</w:t>
            </w:r>
            <w:r>
              <w:rPr>
                <w:rFonts w:cs="FuturaLtBT"/>
              </w:rPr>
              <w:t xml:space="preserve">ty business park </w:t>
            </w:r>
            <w:r w:rsidRPr="00650EEA">
              <w:rPr>
                <w:rFonts w:cs="FuturaLtBT"/>
              </w:rPr>
              <w:t>is required in order to enable Rochford and Southend-on-Sea to meet the demand for B1 and associated B2 Use Class development generated by the growth of London Southend Airport</w:t>
            </w:r>
            <w:r w:rsidR="00D04969">
              <w:rPr>
                <w:rFonts w:cs="FuturaLtBT"/>
              </w:rPr>
              <w:t>,</w:t>
            </w:r>
            <w:r w:rsidRPr="00650EEA">
              <w:rPr>
                <w:rFonts w:cs="FuturaLtBT"/>
              </w:rPr>
              <w:t xml:space="preserve"> as well as broader demand in the economic sub-region. The JAAP has been through an Examination in Public and has been formally adopted by both respective local authorities. An extensive technical evidence base was developed to inform the JAAP in terms of both physical and market delivery prospects. The JAAP identifies that the area must take </w:t>
            </w:r>
            <w:r w:rsidR="00E75105">
              <w:rPr>
                <w:rFonts w:cs="FuturaLtBT"/>
              </w:rPr>
              <w:t>“</w:t>
            </w:r>
            <w:r w:rsidRPr="00621DC2">
              <w:rPr>
                <w:rFonts w:cs="FuturaLtBT"/>
                <w:b/>
                <w:i/>
              </w:rPr>
              <w:t>a pro-active role in encouraging employment development for both aviation-related growth (associated with airport growth) and targeting the delivery of accommodation for high-tech industries and offices (specifically in planning use classes B1 and B2)</w:t>
            </w:r>
            <w:r w:rsidR="00E75105" w:rsidRPr="00E75105">
              <w:rPr>
                <w:rFonts w:cs="FuturaLtBT"/>
                <w:i/>
              </w:rPr>
              <w:t>”</w:t>
            </w:r>
            <w:r w:rsidRPr="00E75105">
              <w:rPr>
                <w:rFonts w:cs="FuturaLtBT"/>
                <w:i/>
              </w:rPr>
              <w:t>.</w:t>
            </w:r>
            <w:r w:rsidRPr="00650EEA">
              <w:rPr>
                <w:rFonts w:cs="FuturaLtBT"/>
              </w:rPr>
              <w:t xml:space="preserve"> It suggests that g</w:t>
            </w:r>
            <w:r>
              <w:rPr>
                <w:rFonts w:cs="FuturaLtBT"/>
              </w:rPr>
              <w:t xml:space="preserve">iven the current </w:t>
            </w:r>
            <w:r w:rsidRPr="00650EEA">
              <w:rPr>
                <w:rFonts w:cs="FuturaLtBT"/>
              </w:rPr>
              <w:t xml:space="preserve">constraints of the local property market, this will provide the area </w:t>
            </w:r>
            <w:r w:rsidRPr="00E75105">
              <w:rPr>
                <w:rFonts w:cs="FuturaLtBT"/>
              </w:rPr>
              <w:t xml:space="preserve">with the greatest chance of </w:t>
            </w:r>
            <w:r w:rsidRPr="00621DC2">
              <w:rPr>
                <w:rFonts w:cs="FuturaLtBT"/>
                <w:color w:val="000000" w:themeColor="text1"/>
              </w:rPr>
              <w:t>creating employment capacity and attracting investor demand.</w:t>
            </w:r>
          </w:p>
          <w:p w:rsidR="00E75105" w:rsidRPr="00621DC2" w:rsidRDefault="00E75105" w:rsidP="00E75105">
            <w:pPr>
              <w:autoSpaceDE w:val="0"/>
              <w:autoSpaceDN w:val="0"/>
              <w:adjustRightInd w:val="0"/>
              <w:jc w:val="both"/>
              <w:rPr>
                <w:rFonts w:cs="FuturaLtBT"/>
                <w:color w:val="000000" w:themeColor="text1"/>
              </w:rPr>
            </w:pPr>
          </w:p>
          <w:p w:rsidR="00E75105" w:rsidRPr="00621DC2" w:rsidRDefault="00E75105" w:rsidP="00616D55">
            <w:pPr>
              <w:pStyle w:val="Default"/>
              <w:jc w:val="both"/>
              <w:rPr>
                <w:rFonts w:asciiTheme="minorHAnsi" w:hAnsiTheme="minorHAnsi" w:cs="Century Gothic"/>
                <w:color w:val="000000" w:themeColor="text1"/>
                <w:sz w:val="22"/>
                <w:szCs w:val="22"/>
              </w:rPr>
            </w:pPr>
            <w:r w:rsidRPr="00621DC2">
              <w:rPr>
                <w:rFonts w:asciiTheme="minorHAnsi" w:hAnsiTheme="minorHAnsi" w:cs="FuturaLtBT"/>
                <w:color w:val="000000" w:themeColor="text1"/>
                <w:sz w:val="22"/>
                <w:szCs w:val="22"/>
              </w:rPr>
              <w:t>Rochford District Council prepared an Employment Land Study</w:t>
            </w:r>
            <w:r w:rsidR="00D04969">
              <w:rPr>
                <w:rFonts w:asciiTheme="minorHAnsi" w:hAnsiTheme="minorHAnsi" w:cs="FuturaLtBT"/>
                <w:color w:val="000000" w:themeColor="text1"/>
                <w:sz w:val="22"/>
                <w:szCs w:val="22"/>
              </w:rPr>
              <w:t xml:space="preserve"> (ELR)</w:t>
            </w:r>
            <w:r w:rsidRPr="00621DC2">
              <w:rPr>
                <w:rFonts w:asciiTheme="minorHAnsi" w:hAnsiTheme="minorHAnsi" w:cs="FuturaLtBT"/>
                <w:color w:val="000000" w:themeColor="text1"/>
                <w:sz w:val="22"/>
                <w:szCs w:val="22"/>
              </w:rPr>
              <w:t xml:space="preserve"> in December 2014 (undertaken by GVA Bilfinger). This suggests that </w:t>
            </w:r>
            <w:r w:rsidRPr="00621DC2">
              <w:rPr>
                <w:rFonts w:asciiTheme="minorHAnsi" w:hAnsiTheme="minorHAnsi" w:cs="Century Gothic"/>
                <w:color w:val="000000" w:themeColor="text1"/>
                <w:sz w:val="22"/>
                <w:szCs w:val="22"/>
              </w:rPr>
              <w:t>the development of the Airport Business Park in accordance with the JAAP w</w:t>
            </w:r>
            <w:r w:rsidRPr="00E75105">
              <w:rPr>
                <w:rFonts w:asciiTheme="minorHAnsi" w:hAnsiTheme="minorHAnsi" w:cs="Century Gothic"/>
                <w:color w:val="000000" w:themeColor="text1"/>
                <w:sz w:val="22"/>
                <w:szCs w:val="22"/>
              </w:rPr>
              <w:t xml:space="preserve">ould enable </w:t>
            </w:r>
            <w:r w:rsidRPr="00621DC2">
              <w:rPr>
                <w:rFonts w:asciiTheme="minorHAnsi" w:hAnsiTheme="minorHAnsi" w:cs="Century Gothic"/>
                <w:color w:val="000000" w:themeColor="text1"/>
                <w:sz w:val="22"/>
                <w:szCs w:val="22"/>
              </w:rPr>
              <w:t>“</w:t>
            </w:r>
            <w:r w:rsidRPr="00E75105">
              <w:rPr>
                <w:rFonts w:asciiTheme="minorHAnsi" w:hAnsiTheme="minorHAnsi" w:cs="Century Gothic"/>
                <w:b/>
                <w:i/>
                <w:color w:val="000000" w:themeColor="text1"/>
                <w:sz w:val="22"/>
                <w:szCs w:val="22"/>
              </w:rPr>
              <w:t>new, good quality bespoke space to be delivered in a location which has demonstrated success in attracting business activity. It would enable the current offer in the area to be broadened and support the existing estate</w:t>
            </w:r>
            <w:r w:rsidRPr="00621DC2">
              <w:rPr>
                <w:rFonts w:asciiTheme="minorHAnsi" w:hAnsiTheme="minorHAnsi" w:cs="Century Gothic"/>
                <w:color w:val="000000" w:themeColor="text1"/>
                <w:sz w:val="22"/>
                <w:szCs w:val="22"/>
              </w:rPr>
              <w:t>”</w:t>
            </w:r>
            <w:r w:rsidRPr="00E75105">
              <w:rPr>
                <w:rFonts w:asciiTheme="minorHAnsi" w:hAnsiTheme="minorHAnsi" w:cs="Century Gothic"/>
                <w:color w:val="000000" w:themeColor="text1"/>
                <w:sz w:val="22"/>
                <w:szCs w:val="22"/>
              </w:rPr>
              <w:t xml:space="preserve">. </w:t>
            </w:r>
            <w:r w:rsidRPr="00621DC2">
              <w:rPr>
                <w:rFonts w:asciiTheme="minorHAnsi" w:hAnsiTheme="minorHAnsi" w:cs="Century Gothic"/>
                <w:color w:val="000000" w:themeColor="text1"/>
                <w:sz w:val="22"/>
                <w:szCs w:val="22"/>
              </w:rPr>
              <w:t xml:space="preserve"> It goes on to state that “</w:t>
            </w:r>
            <w:r w:rsidRPr="00621DC2">
              <w:rPr>
                <w:rFonts w:asciiTheme="minorHAnsi" w:hAnsiTheme="minorHAnsi" w:cs="Century Gothic"/>
                <w:b/>
                <w:i/>
                <w:color w:val="000000" w:themeColor="text1"/>
                <w:sz w:val="22"/>
                <w:szCs w:val="22"/>
              </w:rPr>
              <w:t>o</w:t>
            </w:r>
            <w:r w:rsidRPr="00E75105">
              <w:rPr>
                <w:rFonts w:asciiTheme="minorHAnsi" w:hAnsiTheme="minorHAnsi" w:cs="Century Gothic"/>
                <w:b/>
                <w:i/>
                <w:color w:val="000000" w:themeColor="text1"/>
                <w:sz w:val="22"/>
                <w:szCs w:val="22"/>
              </w:rPr>
              <w:t>ver the plan period the land would provide a competitive offer to attract businesses from the aviation sector, its supply chain and also others seeking good quality, accessible space</w:t>
            </w:r>
            <w:r w:rsidRPr="00621DC2">
              <w:rPr>
                <w:rFonts w:asciiTheme="minorHAnsi" w:hAnsiTheme="minorHAnsi" w:cs="Century Gothic"/>
                <w:color w:val="000000" w:themeColor="text1"/>
                <w:sz w:val="22"/>
                <w:szCs w:val="22"/>
              </w:rPr>
              <w:t>”</w:t>
            </w:r>
            <w:r w:rsidRPr="00E75105">
              <w:rPr>
                <w:rFonts w:asciiTheme="minorHAnsi" w:hAnsiTheme="minorHAnsi" w:cs="Century Gothic"/>
                <w:color w:val="000000" w:themeColor="text1"/>
                <w:sz w:val="22"/>
                <w:szCs w:val="22"/>
              </w:rPr>
              <w:t xml:space="preserve">. </w:t>
            </w:r>
          </w:p>
          <w:p w:rsidR="00E75105" w:rsidRPr="00621DC2" w:rsidRDefault="00E75105" w:rsidP="00616D55">
            <w:pPr>
              <w:pStyle w:val="Default"/>
              <w:jc w:val="both"/>
              <w:rPr>
                <w:rFonts w:asciiTheme="minorHAnsi" w:hAnsiTheme="minorHAnsi" w:cs="Century Gothic"/>
                <w:color w:val="000000" w:themeColor="text1"/>
                <w:sz w:val="22"/>
                <w:szCs w:val="22"/>
              </w:rPr>
            </w:pPr>
          </w:p>
          <w:p w:rsidR="00616D55" w:rsidRPr="00621DC2" w:rsidRDefault="00E75105" w:rsidP="00F60E81">
            <w:pPr>
              <w:pStyle w:val="Default"/>
              <w:jc w:val="both"/>
              <w:rPr>
                <w:rFonts w:asciiTheme="minorHAnsi" w:hAnsiTheme="minorHAnsi" w:cs="Century Gothic"/>
                <w:color w:val="000000" w:themeColor="text1"/>
                <w:sz w:val="22"/>
                <w:szCs w:val="22"/>
              </w:rPr>
            </w:pPr>
            <w:r w:rsidRPr="00621DC2">
              <w:rPr>
                <w:rFonts w:asciiTheme="minorHAnsi" w:hAnsiTheme="minorHAnsi" w:cs="Century Gothic"/>
                <w:color w:val="000000" w:themeColor="text1"/>
                <w:sz w:val="22"/>
                <w:szCs w:val="22"/>
              </w:rPr>
              <w:t>In terms of recent demand</w:t>
            </w:r>
            <w:r w:rsidR="00616D55" w:rsidRPr="00621DC2">
              <w:rPr>
                <w:rFonts w:asciiTheme="minorHAnsi" w:hAnsiTheme="minorHAnsi" w:cs="Century Gothic"/>
                <w:color w:val="000000" w:themeColor="text1"/>
                <w:sz w:val="22"/>
                <w:szCs w:val="22"/>
              </w:rPr>
              <w:t xml:space="preserve"> for office space</w:t>
            </w:r>
            <w:r w:rsidRPr="00621DC2">
              <w:rPr>
                <w:rFonts w:asciiTheme="minorHAnsi" w:hAnsiTheme="minorHAnsi" w:cs="Century Gothic"/>
                <w:color w:val="000000" w:themeColor="text1"/>
                <w:sz w:val="22"/>
                <w:szCs w:val="22"/>
              </w:rPr>
              <w:t xml:space="preserve">, the ELR looked back at all transactions in Rochford between 2009 and 2014. </w:t>
            </w:r>
            <w:r w:rsidRPr="00E75105">
              <w:rPr>
                <w:rFonts w:asciiTheme="minorHAnsi" w:hAnsiTheme="minorHAnsi" w:cs="Century Gothic"/>
                <w:color w:val="000000" w:themeColor="text1"/>
                <w:sz w:val="22"/>
                <w:szCs w:val="22"/>
              </w:rPr>
              <w:t xml:space="preserve">The average </w:t>
            </w:r>
            <w:r w:rsidRPr="00621DC2">
              <w:rPr>
                <w:rFonts w:asciiTheme="minorHAnsi" w:hAnsiTheme="minorHAnsi" w:cs="Century Gothic"/>
                <w:color w:val="000000" w:themeColor="text1"/>
                <w:sz w:val="22"/>
                <w:szCs w:val="22"/>
              </w:rPr>
              <w:t xml:space="preserve">deal size was less than 150sqm and this </w:t>
            </w:r>
            <w:r w:rsidRPr="00E75105">
              <w:rPr>
                <w:rFonts w:asciiTheme="minorHAnsi" w:hAnsiTheme="minorHAnsi" w:cs="Century Gothic"/>
                <w:color w:val="000000" w:themeColor="text1"/>
                <w:sz w:val="22"/>
                <w:szCs w:val="22"/>
              </w:rPr>
              <w:t xml:space="preserve">reinforces the nature of the market as one orientated towards local businesses. </w:t>
            </w:r>
            <w:r w:rsidRPr="00621DC2">
              <w:rPr>
                <w:rFonts w:asciiTheme="minorHAnsi" w:hAnsiTheme="minorHAnsi" w:cs="Century Gothic"/>
                <w:color w:val="000000" w:themeColor="text1"/>
                <w:sz w:val="22"/>
                <w:szCs w:val="22"/>
              </w:rPr>
              <w:t xml:space="preserve">It noted that rents were higher at the </w:t>
            </w:r>
            <w:r w:rsidR="00D04969">
              <w:rPr>
                <w:rFonts w:asciiTheme="minorHAnsi" w:hAnsiTheme="minorHAnsi" w:cs="Century Gothic"/>
                <w:color w:val="000000" w:themeColor="text1"/>
                <w:sz w:val="22"/>
                <w:szCs w:val="22"/>
              </w:rPr>
              <w:t xml:space="preserve">existing </w:t>
            </w:r>
            <w:r w:rsidRPr="00621DC2">
              <w:rPr>
                <w:rFonts w:asciiTheme="minorHAnsi" w:hAnsiTheme="minorHAnsi" w:cs="Century Gothic"/>
                <w:color w:val="000000" w:themeColor="text1"/>
                <w:sz w:val="22"/>
                <w:szCs w:val="22"/>
              </w:rPr>
              <w:t>Airport</w:t>
            </w:r>
            <w:r w:rsidR="00633E5F">
              <w:rPr>
                <w:rFonts w:asciiTheme="minorHAnsi" w:hAnsiTheme="minorHAnsi" w:cs="Century Gothic"/>
                <w:color w:val="000000" w:themeColor="text1"/>
                <w:sz w:val="22"/>
                <w:szCs w:val="22"/>
              </w:rPr>
              <w:t xml:space="preserve"> sites </w:t>
            </w:r>
            <w:r w:rsidRPr="00621DC2">
              <w:rPr>
                <w:rFonts w:asciiTheme="minorHAnsi" w:hAnsiTheme="minorHAnsi" w:cs="Century Gothic"/>
                <w:color w:val="000000" w:themeColor="text1"/>
                <w:sz w:val="22"/>
                <w:szCs w:val="22"/>
              </w:rPr>
              <w:t xml:space="preserve">than other locations due to the </w:t>
            </w:r>
            <w:r w:rsidR="00616D55" w:rsidRPr="00621DC2">
              <w:rPr>
                <w:rFonts w:asciiTheme="minorHAnsi" w:hAnsiTheme="minorHAnsi" w:cs="Century Gothic"/>
                <w:color w:val="000000" w:themeColor="text1"/>
                <w:sz w:val="22"/>
                <w:szCs w:val="22"/>
              </w:rPr>
              <w:t>higher profile it offers businesses. In terms of current supply, in 2014, there was only 600 sqm of available office floorspace at Southend Airport across 9 units. The report suggests that “</w:t>
            </w:r>
            <w:r w:rsidR="00616D55" w:rsidRPr="00621DC2">
              <w:rPr>
                <w:rFonts w:asciiTheme="minorHAnsi" w:hAnsiTheme="minorHAnsi" w:cs="Century Gothic"/>
                <w:b/>
                <w:i/>
                <w:color w:val="000000" w:themeColor="text1"/>
                <w:sz w:val="22"/>
                <w:szCs w:val="22"/>
              </w:rPr>
              <w:t>g</w:t>
            </w:r>
            <w:r w:rsidR="00616D55" w:rsidRPr="00616D55">
              <w:rPr>
                <w:rFonts w:asciiTheme="minorHAnsi" w:hAnsiTheme="minorHAnsi" w:cs="Century Gothic"/>
                <w:b/>
                <w:i/>
                <w:color w:val="000000" w:themeColor="text1"/>
                <w:sz w:val="22"/>
                <w:szCs w:val="22"/>
              </w:rPr>
              <w:t>iven the scale and focus of demand in the area close to Southend Airport it could be considered there is a lack of supply in this area, particularly given that these tend to be very small units compared to the average deal size</w:t>
            </w:r>
            <w:r w:rsidR="00616D55" w:rsidRPr="00621DC2">
              <w:rPr>
                <w:rFonts w:asciiTheme="minorHAnsi" w:hAnsiTheme="minorHAnsi" w:cs="Century Gothic"/>
                <w:color w:val="000000" w:themeColor="text1"/>
                <w:sz w:val="22"/>
                <w:szCs w:val="22"/>
              </w:rPr>
              <w:t>”</w:t>
            </w:r>
            <w:r w:rsidR="00616D55" w:rsidRPr="00616D55">
              <w:rPr>
                <w:rFonts w:asciiTheme="minorHAnsi" w:hAnsiTheme="minorHAnsi" w:cs="Century Gothic"/>
                <w:color w:val="000000" w:themeColor="text1"/>
                <w:sz w:val="22"/>
                <w:szCs w:val="22"/>
              </w:rPr>
              <w:t xml:space="preserve">. </w:t>
            </w:r>
          </w:p>
          <w:p w:rsidR="00616D55" w:rsidRPr="00621DC2" w:rsidRDefault="00616D55" w:rsidP="00F60E81">
            <w:pPr>
              <w:pStyle w:val="Default"/>
              <w:jc w:val="both"/>
              <w:rPr>
                <w:rFonts w:asciiTheme="minorHAnsi" w:hAnsiTheme="minorHAnsi" w:cs="Century Gothic"/>
                <w:color w:val="000000" w:themeColor="text1"/>
                <w:sz w:val="22"/>
                <w:szCs w:val="22"/>
              </w:rPr>
            </w:pPr>
          </w:p>
          <w:p w:rsidR="00F60E81" w:rsidRPr="00F60E81" w:rsidRDefault="00616D55" w:rsidP="00621DC2">
            <w:pPr>
              <w:pStyle w:val="Default"/>
              <w:jc w:val="both"/>
              <w:rPr>
                <w:rFonts w:asciiTheme="minorHAnsi" w:hAnsiTheme="minorHAnsi" w:cs="Century Gothic"/>
                <w:color w:val="000000" w:themeColor="text1"/>
                <w:sz w:val="22"/>
                <w:szCs w:val="22"/>
              </w:rPr>
            </w:pPr>
            <w:r w:rsidRPr="00621DC2">
              <w:rPr>
                <w:rFonts w:asciiTheme="minorHAnsi" w:hAnsiTheme="minorHAnsi" w:cs="Century Gothic"/>
                <w:color w:val="000000" w:themeColor="text1"/>
                <w:sz w:val="22"/>
                <w:szCs w:val="22"/>
              </w:rPr>
              <w:t>In terms of recent demand for industrial floorspace,</w:t>
            </w:r>
            <w:r w:rsidR="00F60E81" w:rsidRPr="00621DC2">
              <w:rPr>
                <w:rFonts w:asciiTheme="minorHAnsi" w:hAnsiTheme="minorHAnsi" w:cs="Century Gothic"/>
                <w:color w:val="000000" w:themeColor="text1"/>
                <w:sz w:val="22"/>
                <w:szCs w:val="22"/>
              </w:rPr>
              <w:t xml:space="preserve"> the report suggests that </w:t>
            </w:r>
            <w:r w:rsidR="00F60E81" w:rsidRPr="00F60E81">
              <w:rPr>
                <w:rFonts w:asciiTheme="minorHAnsi" w:hAnsiTheme="minorHAnsi" w:cs="Century Gothic"/>
                <w:color w:val="000000" w:themeColor="text1"/>
                <w:sz w:val="22"/>
                <w:szCs w:val="22"/>
              </w:rPr>
              <w:t xml:space="preserve">the District </w:t>
            </w:r>
            <w:r w:rsidR="00F60E81" w:rsidRPr="00621DC2">
              <w:rPr>
                <w:rFonts w:asciiTheme="minorHAnsi" w:hAnsiTheme="minorHAnsi" w:cs="Century Gothic"/>
                <w:color w:val="000000" w:themeColor="text1"/>
                <w:sz w:val="22"/>
                <w:szCs w:val="22"/>
              </w:rPr>
              <w:t>“</w:t>
            </w:r>
            <w:r w:rsidR="00F60E81" w:rsidRPr="00F60E81">
              <w:rPr>
                <w:rFonts w:asciiTheme="minorHAnsi" w:hAnsiTheme="minorHAnsi" w:cs="Century Gothic"/>
                <w:b/>
                <w:i/>
                <w:color w:val="000000" w:themeColor="text1"/>
                <w:sz w:val="22"/>
                <w:szCs w:val="22"/>
              </w:rPr>
              <w:t>has not attracted new, larger, occupiers in any great number, which could, in part, reflect the scale and nature of stock or development land availabl</w:t>
            </w:r>
            <w:r w:rsidR="00F60E81" w:rsidRPr="00621DC2">
              <w:rPr>
                <w:rFonts w:asciiTheme="minorHAnsi" w:hAnsiTheme="minorHAnsi" w:cs="Century Gothic"/>
                <w:b/>
                <w:i/>
                <w:color w:val="000000" w:themeColor="text1"/>
                <w:sz w:val="22"/>
                <w:szCs w:val="22"/>
              </w:rPr>
              <w:t>e</w:t>
            </w:r>
            <w:r w:rsidR="00F60E81" w:rsidRPr="00621DC2">
              <w:rPr>
                <w:rFonts w:asciiTheme="minorHAnsi" w:hAnsiTheme="minorHAnsi" w:cs="Century Gothic"/>
                <w:color w:val="000000" w:themeColor="text1"/>
                <w:sz w:val="22"/>
                <w:szCs w:val="22"/>
              </w:rPr>
              <w:t>”. It suggests that “</w:t>
            </w:r>
            <w:r w:rsidR="00F60E81" w:rsidRPr="00621DC2">
              <w:rPr>
                <w:rFonts w:asciiTheme="minorHAnsi" w:hAnsiTheme="minorHAnsi" w:cs="Century Gothic"/>
                <w:b/>
                <w:i/>
                <w:color w:val="000000" w:themeColor="text1"/>
                <w:sz w:val="22"/>
                <w:szCs w:val="22"/>
              </w:rPr>
              <w:t>t</w:t>
            </w:r>
            <w:r w:rsidR="00F60E81" w:rsidRPr="00F60E81">
              <w:rPr>
                <w:rFonts w:asciiTheme="minorHAnsi" w:hAnsiTheme="minorHAnsi" w:cs="Century Gothic"/>
                <w:b/>
                <w:i/>
                <w:color w:val="000000" w:themeColor="text1"/>
                <w:sz w:val="22"/>
                <w:szCs w:val="22"/>
              </w:rPr>
              <w:t>he area close to the airport has also performed strongly with the second highest num</w:t>
            </w:r>
            <w:r w:rsidR="00F60E81" w:rsidRPr="00621DC2">
              <w:rPr>
                <w:rFonts w:asciiTheme="minorHAnsi" w:hAnsiTheme="minorHAnsi" w:cs="Century Gothic"/>
                <w:b/>
                <w:i/>
                <w:color w:val="000000" w:themeColor="text1"/>
                <w:sz w:val="22"/>
                <w:szCs w:val="22"/>
              </w:rPr>
              <w:t>ber of deals and achieved rents</w:t>
            </w:r>
            <w:r w:rsidR="00F60E81" w:rsidRPr="00621DC2">
              <w:rPr>
                <w:rFonts w:asciiTheme="minorHAnsi" w:hAnsiTheme="minorHAnsi" w:cs="Century Gothic"/>
                <w:i/>
                <w:color w:val="000000" w:themeColor="text1"/>
                <w:sz w:val="22"/>
                <w:szCs w:val="22"/>
              </w:rPr>
              <w:t>”.</w:t>
            </w:r>
            <w:r w:rsidR="00F60E81" w:rsidRPr="00621DC2">
              <w:rPr>
                <w:rFonts w:asciiTheme="minorHAnsi" w:hAnsiTheme="minorHAnsi" w:cs="Century Gothic"/>
                <w:color w:val="000000" w:themeColor="text1"/>
                <w:sz w:val="22"/>
                <w:szCs w:val="22"/>
              </w:rPr>
              <w:t xml:space="preserve"> </w:t>
            </w:r>
            <w:r w:rsidR="000A14B4" w:rsidRPr="00621DC2">
              <w:rPr>
                <w:rFonts w:asciiTheme="minorHAnsi" w:hAnsiTheme="minorHAnsi" w:cs="Century Gothic"/>
                <w:color w:val="000000" w:themeColor="text1"/>
                <w:sz w:val="22"/>
                <w:szCs w:val="22"/>
              </w:rPr>
              <w:t>The ELR states that “</w:t>
            </w:r>
            <w:r w:rsidR="000A14B4" w:rsidRPr="00621DC2">
              <w:rPr>
                <w:rFonts w:asciiTheme="minorHAnsi" w:hAnsiTheme="minorHAnsi" w:cs="Century Gothic"/>
                <w:b/>
                <w:i/>
                <w:color w:val="000000" w:themeColor="text1"/>
                <w:sz w:val="22"/>
                <w:szCs w:val="22"/>
              </w:rPr>
              <w:t>c</w:t>
            </w:r>
            <w:r w:rsidR="00F60E81" w:rsidRPr="00F60E81">
              <w:rPr>
                <w:rFonts w:asciiTheme="minorHAnsi" w:hAnsiTheme="minorHAnsi" w:cs="Century Gothic"/>
                <w:b/>
                <w:i/>
                <w:color w:val="000000" w:themeColor="text1"/>
                <w:sz w:val="22"/>
                <w:szCs w:val="22"/>
              </w:rPr>
              <w:t xml:space="preserve">urrently </w:t>
            </w:r>
            <w:r w:rsidR="00F60E81" w:rsidRPr="00F60E81">
              <w:rPr>
                <w:rFonts w:asciiTheme="minorHAnsi" w:hAnsiTheme="minorHAnsi" w:cs="Century Gothic"/>
                <w:b/>
                <w:i/>
                <w:color w:val="000000" w:themeColor="text1"/>
                <w:sz w:val="22"/>
                <w:szCs w:val="22"/>
              </w:rPr>
              <w:lastRenderedPageBreak/>
              <w:t>there are no new or refurbished units on the market within the District highlighting a potential lack of choice for occupiers. Given the potential strengths and drivers of industrial activity and the age of existing stock, this is likely to be a critical consideration in the future</w:t>
            </w:r>
            <w:r w:rsidR="000A14B4" w:rsidRPr="00621DC2">
              <w:rPr>
                <w:rFonts w:asciiTheme="minorHAnsi" w:hAnsiTheme="minorHAnsi" w:cs="Century Gothic"/>
                <w:i/>
                <w:color w:val="000000" w:themeColor="text1"/>
                <w:sz w:val="22"/>
                <w:szCs w:val="22"/>
              </w:rPr>
              <w:t>”</w:t>
            </w:r>
            <w:r w:rsidR="00F60E81" w:rsidRPr="00F60E81">
              <w:rPr>
                <w:rFonts w:asciiTheme="minorHAnsi" w:hAnsiTheme="minorHAnsi" w:cs="Century Gothic"/>
                <w:color w:val="000000" w:themeColor="text1"/>
                <w:sz w:val="22"/>
                <w:szCs w:val="22"/>
              </w:rPr>
              <w:t xml:space="preserve">. </w:t>
            </w:r>
          </w:p>
          <w:p w:rsidR="00616D55" w:rsidRPr="00E75105" w:rsidRDefault="00616D55" w:rsidP="00621DC2">
            <w:pPr>
              <w:pStyle w:val="Default"/>
              <w:jc w:val="both"/>
              <w:rPr>
                <w:rFonts w:asciiTheme="minorHAnsi" w:hAnsiTheme="minorHAnsi" w:cs="Century Gothic"/>
                <w:color w:val="000000" w:themeColor="text1"/>
                <w:sz w:val="22"/>
                <w:szCs w:val="22"/>
              </w:rPr>
            </w:pPr>
          </w:p>
          <w:p w:rsidR="00621DC2" w:rsidRPr="00621DC2" w:rsidRDefault="00621DC2" w:rsidP="00621DC2">
            <w:pPr>
              <w:pStyle w:val="Default"/>
              <w:jc w:val="both"/>
              <w:rPr>
                <w:rFonts w:asciiTheme="minorHAnsi" w:hAnsiTheme="minorHAnsi" w:cs="Century Gothic"/>
                <w:color w:val="000000" w:themeColor="text1"/>
                <w:sz w:val="22"/>
                <w:szCs w:val="22"/>
              </w:rPr>
            </w:pPr>
            <w:r w:rsidRPr="00621DC2">
              <w:rPr>
                <w:rFonts w:asciiTheme="minorHAnsi" w:hAnsiTheme="minorHAnsi" w:cs="Century Gothic"/>
                <w:color w:val="000000" w:themeColor="text1"/>
                <w:sz w:val="22"/>
                <w:szCs w:val="22"/>
              </w:rPr>
              <w:t>The ELR concludes that “</w:t>
            </w:r>
            <w:r w:rsidRPr="00621DC2">
              <w:rPr>
                <w:rFonts w:asciiTheme="minorHAnsi" w:hAnsiTheme="minorHAnsi" w:cs="Century Gothic"/>
                <w:b/>
                <w:i/>
                <w:color w:val="000000" w:themeColor="text1"/>
                <w:sz w:val="22"/>
                <w:szCs w:val="22"/>
              </w:rPr>
              <w:t>it can be seen by recent data that the area close to London Southend Airport has become an important part of the market, beginning to balance activity across the District”.</w:t>
            </w:r>
            <w:r w:rsidRPr="00621DC2">
              <w:rPr>
                <w:rFonts w:asciiTheme="minorHAnsi" w:hAnsiTheme="minorHAnsi" w:cs="Century Gothic"/>
                <w:color w:val="000000" w:themeColor="text1"/>
                <w:sz w:val="22"/>
                <w:szCs w:val="22"/>
              </w:rPr>
              <w:t xml:space="preserve">  </w:t>
            </w:r>
            <w:r>
              <w:rPr>
                <w:rFonts w:asciiTheme="minorHAnsi" w:hAnsiTheme="minorHAnsi" w:cs="Century Gothic"/>
                <w:color w:val="000000" w:themeColor="text1"/>
                <w:sz w:val="22"/>
                <w:szCs w:val="22"/>
              </w:rPr>
              <w:t>It reaches a number of</w:t>
            </w:r>
            <w:r w:rsidRPr="00621DC2">
              <w:rPr>
                <w:rFonts w:asciiTheme="minorHAnsi" w:hAnsiTheme="minorHAnsi" w:cs="Century Gothic"/>
                <w:color w:val="000000" w:themeColor="text1"/>
                <w:sz w:val="22"/>
                <w:szCs w:val="22"/>
              </w:rPr>
              <w:t xml:space="preserve"> conclusions in relation to land at the Airport Business Park specifically:</w:t>
            </w:r>
          </w:p>
          <w:p w:rsidR="00621DC2" w:rsidRPr="00621DC2" w:rsidRDefault="00621DC2" w:rsidP="00621DC2">
            <w:pPr>
              <w:pStyle w:val="Default"/>
              <w:jc w:val="both"/>
              <w:rPr>
                <w:rFonts w:asciiTheme="minorHAnsi" w:hAnsiTheme="minorHAnsi" w:cs="Century Gothic"/>
                <w:color w:val="000000" w:themeColor="text1"/>
                <w:sz w:val="22"/>
                <w:szCs w:val="22"/>
              </w:rPr>
            </w:pPr>
          </w:p>
          <w:p w:rsidR="00621DC2" w:rsidRPr="00621DC2" w:rsidRDefault="00E75105" w:rsidP="00621DC2">
            <w:pPr>
              <w:pStyle w:val="ListParagraph"/>
              <w:numPr>
                <w:ilvl w:val="0"/>
                <w:numId w:val="21"/>
              </w:numPr>
              <w:autoSpaceDE w:val="0"/>
              <w:autoSpaceDN w:val="0"/>
              <w:adjustRightInd w:val="0"/>
              <w:jc w:val="both"/>
              <w:rPr>
                <w:rFonts w:cs="Century Gothic"/>
                <w:color w:val="000000" w:themeColor="text1"/>
              </w:rPr>
            </w:pPr>
            <w:r w:rsidRPr="00621DC2">
              <w:rPr>
                <w:rFonts w:cs="Century Gothic"/>
                <w:color w:val="000000" w:themeColor="text1"/>
              </w:rPr>
              <w:t xml:space="preserve">it is </w:t>
            </w:r>
            <w:r w:rsidR="00621DC2">
              <w:rPr>
                <w:rFonts w:cs="Century Gothic"/>
                <w:color w:val="000000" w:themeColor="text1"/>
              </w:rPr>
              <w:t>expected</w:t>
            </w:r>
            <w:r w:rsidRPr="00621DC2">
              <w:rPr>
                <w:rFonts w:cs="Century Gothic"/>
                <w:color w:val="000000" w:themeColor="text1"/>
              </w:rPr>
              <w:t xml:space="preserve"> that property requirements would be shared between office and ‘industrial’ activity. We would not expect significant distribution activity given the nature of airport operations (which will not focus on cargo) and the proximity of the area to other major distribution locations, such as London Gateway Port. </w:t>
            </w:r>
          </w:p>
          <w:p w:rsidR="00621DC2" w:rsidRPr="00621DC2" w:rsidRDefault="00621DC2" w:rsidP="00621DC2">
            <w:pPr>
              <w:pStyle w:val="ListParagraph"/>
              <w:numPr>
                <w:ilvl w:val="0"/>
                <w:numId w:val="21"/>
              </w:numPr>
              <w:autoSpaceDE w:val="0"/>
              <w:autoSpaceDN w:val="0"/>
              <w:adjustRightInd w:val="0"/>
              <w:jc w:val="both"/>
              <w:rPr>
                <w:rFonts w:cs="Century Gothic"/>
                <w:color w:val="000000" w:themeColor="text1"/>
              </w:rPr>
            </w:pPr>
            <w:r>
              <w:rPr>
                <w:rFonts w:cs="Century Gothic"/>
                <w:color w:val="000000" w:themeColor="text1"/>
              </w:rPr>
              <w:t>t</w:t>
            </w:r>
            <w:r w:rsidR="00E75105" w:rsidRPr="00621DC2">
              <w:rPr>
                <w:rFonts w:cs="Century Gothic"/>
                <w:color w:val="000000" w:themeColor="text1"/>
              </w:rPr>
              <w:t xml:space="preserve">he presence of London Southend Airport is of critical importance to much of Rochford District’s economic and employment performance. It is clearly an important employer in its own right but also supports a much larger network of supply chain businesses in a range of sectors. </w:t>
            </w:r>
          </w:p>
          <w:p w:rsidR="00621DC2" w:rsidRPr="00621DC2" w:rsidRDefault="00E75105" w:rsidP="00621DC2">
            <w:pPr>
              <w:pStyle w:val="ListParagraph"/>
              <w:numPr>
                <w:ilvl w:val="0"/>
                <w:numId w:val="21"/>
              </w:numPr>
              <w:autoSpaceDE w:val="0"/>
              <w:autoSpaceDN w:val="0"/>
              <w:adjustRightInd w:val="0"/>
              <w:jc w:val="both"/>
              <w:rPr>
                <w:rFonts w:cs="Century Gothic"/>
                <w:color w:val="000000" w:themeColor="text1"/>
              </w:rPr>
            </w:pPr>
            <w:r w:rsidRPr="00621DC2">
              <w:rPr>
                <w:rFonts w:cs="Century Gothic"/>
                <w:color w:val="000000" w:themeColor="text1"/>
              </w:rPr>
              <w:t xml:space="preserve">the Airport acts as a significant economic identifier for the area, drawing businesses to the area which, whilst not directly associated with airport operations, benefit from the connections and profile it gives the area. </w:t>
            </w:r>
          </w:p>
          <w:p w:rsidR="00621DC2" w:rsidRDefault="00621DC2" w:rsidP="00621DC2">
            <w:pPr>
              <w:pStyle w:val="ListParagraph"/>
              <w:numPr>
                <w:ilvl w:val="0"/>
                <w:numId w:val="21"/>
              </w:numPr>
              <w:autoSpaceDE w:val="0"/>
              <w:autoSpaceDN w:val="0"/>
              <w:adjustRightInd w:val="0"/>
              <w:jc w:val="both"/>
              <w:rPr>
                <w:rFonts w:cs="Century Gothic"/>
                <w:color w:val="000000" w:themeColor="text1"/>
              </w:rPr>
            </w:pPr>
            <w:r>
              <w:rPr>
                <w:rFonts w:cs="Century Gothic"/>
                <w:color w:val="000000" w:themeColor="text1"/>
              </w:rPr>
              <w:t>d</w:t>
            </w:r>
            <w:r w:rsidR="00E75105" w:rsidRPr="00621DC2">
              <w:rPr>
                <w:rFonts w:cs="Century Gothic"/>
                <w:color w:val="000000" w:themeColor="text1"/>
              </w:rPr>
              <w:t xml:space="preserve">evelopment here would enable new, good quality bespoke space to be delivered in a location which has demonstrated success in attracting business activity. It would enable the current offer in the area to be broadened and support the existing estate. </w:t>
            </w:r>
          </w:p>
          <w:p w:rsidR="00E75105" w:rsidRDefault="00E75105" w:rsidP="00621DC2">
            <w:pPr>
              <w:pStyle w:val="ListParagraph"/>
              <w:numPr>
                <w:ilvl w:val="0"/>
                <w:numId w:val="21"/>
              </w:numPr>
              <w:autoSpaceDE w:val="0"/>
              <w:autoSpaceDN w:val="0"/>
              <w:adjustRightInd w:val="0"/>
              <w:jc w:val="both"/>
              <w:rPr>
                <w:rFonts w:cs="Century Gothic"/>
                <w:color w:val="000000" w:themeColor="text1"/>
              </w:rPr>
            </w:pPr>
            <w:r w:rsidRPr="00621DC2">
              <w:rPr>
                <w:rFonts w:cs="Century Gothic"/>
                <w:color w:val="000000" w:themeColor="text1"/>
              </w:rPr>
              <w:t>there are likely to be two components to employment growth resulting from the Airport. The first will be direct employment generated from airport related and aircraft servicing activities. The second impact will be employment generated by those businesses benefitting from locating close to an airport</w:t>
            </w:r>
            <w:r w:rsidR="00621DC2">
              <w:rPr>
                <w:rFonts w:cs="Century Gothic"/>
                <w:color w:val="000000" w:themeColor="text1"/>
              </w:rPr>
              <w:t xml:space="preserve">. </w:t>
            </w:r>
            <w:r w:rsidRPr="00621DC2">
              <w:rPr>
                <w:rFonts w:cs="Century Gothic"/>
                <w:color w:val="000000" w:themeColor="text1"/>
              </w:rPr>
              <w:t xml:space="preserve">Whilst some of these businesses may service the airport as part of the wider ‘supply chain’, on the whole they are likely to be less reliant on direct links to it and therefore, whilst some may locate within the JAAP area, they are likely to be more ‘footloose’. </w:t>
            </w:r>
          </w:p>
          <w:p w:rsidR="00621DC2" w:rsidRDefault="00621DC2" w:rsidP="00621DC2">
            <w:pPr>
              <w:pStyle w:val="ListParagraph"/>
              <w:autoSpaceDE w:val="0"/>
              <w:autoSpaceDN w:val="0"/>
              <w:adjustRightInd w:val="0"/>
              <w:ind w:left="360"/>
              <w:jc w:val="both"/>
              <w:rPr>
                <w:rFonts w:cs="Century Gothic"/>
                <w:color w:val="000000" w:themeColor="text1"/>
              </w:rPr>
            </w:pPr>
          </w:p>
          <w:p w:rsidR="00621DC2" w:rsidRPr="00621DC2" w:rsidRDefault="001A55C6" w:rsidP="00621DC2">
            <w:pPr>
              <w:autoSpaceDE w:val="0"/>
              <w:autoSpaceDN w:val="0"/>
              <w:adjustRightInd w:val="0"/>
              <w:jc w:val="both"/>
              <w:rPr>
                <w:rFonts w:cs="Century Gothic"/>
                <w:color w:val="000000" w:themeColor="text1"/>
              </w:rPr>
            </w:pPr>
            <w:r>
              <w:rPr>
                <w:rFonts w:cs="Century Gothic"/>
                <w:color w:val="000000" w:themeColor="text1"/>
              </w:rPr>
              <w:t>There</w:t>
            </w:r>
            <w:r w:rsidR="00621DC2">
              <w:rPr>
                <w:rFonts w:cs="Century Gothic"/>
                <w:color w:val="000000" w:themeColor="text1"/>
              </w:rPr>
              <w:t xml:space="preserve"> is clear evidence to suggest that there is a lack of available high quality B1/B2</w:t>
            </w:r>
            <w:r w:rsidR="00180D9A">
              <w:rPr>
                <w:rFonts w:cs="Century Gothic"/>
                <w:color w:val="000000" w:themeColor="text1"/>
              </w:rPr>
              <w:t xml:space="preserve"> </w:t>
            </w:r>
            <w:r w:rsidR="00621DC2">
              <w:rPr>
                <w:rFonts w:cs="Century Gothic"/>
                <w:color w:val="000000" w:themeColor="text1"/>
              </w:rPr>
              <w:t>employment floorspace around the Airport, against a backdrop of continuing demand in this locat</w:t>
            </w:r>
            <w:r w:rsidR="00633E5F">
              <w:rPr>
                <w:rFonts w:cs="Century Gothic"/>
                <w:color w:val="000000" w:themeColor="text1"/>
              </w:rPr>
              <w:t>ion which is likely to increase as the Stobart Group and its partners continue to invest</w:t>
            </w:r>
            <w:r w:rsidR="00621DC2">
              <w:rPr>
                <w:rFonts w:cs="Century Gothic"/>
                <w:color w:val="000000" w:themeColor="text1"/>
              </w:rPr>
              <w:t xml:space="preserve"> in its </w:t>
            </w:r>
            <w:r w:rsidR="00633E5F">
              <w:rPr>
                <w:rFonts w:cs="Century Gothic"/>
                <w:color w:val="000000" w:themeColor="text1"/>
              </w:rPr>
              <w:t xml:space="preserve">route </w:t>
            </w:r>
            <w:r w:rsidR="00621DC2">
              <w:rPr>
                <w:rFonts w:cs="Century Gothic"/>
                <w:color w:val="000000" w:themeColor="text1"/>
              </w:rPr>
              <w:t>expansion</w:t>
            </w:r>
            <w:r w:rsidR="00633E5F">
              <w:rPr>
                <w:rFonts w:cs="Century Gothic"/>
                <w:color w:val="000000" w:themeColor="text1"/>
              </w:rPr>
              <w:t xml:space="preserve"> and wider ‘offer’</w:t>
            </w:r>
            <w:r w:rsidR="00621DC2">
              <w:rPr>
                <w:rFonts w:cs="Century Gothic"/>
                <w:color w:val="000000" w:themeColor="text1"/>
              </w:rPr>
              <w:t xml:space="preserve"> (see below). </w:t>
            </w:r>
            <w:r w:rsidR="002A5C5F">
              <w:rPr>
                <w:rFonts w:cs="Century Gothic"/>
                <w:color w:val="000000" w:themeColor="text1"/>
              </w:rPr>
              <w:t xml:space="preserve">The need for additional employment land is a key premise of the Southend City Deal </w:t>
            </w:r>
            <w:r w:rsidR="00EE5036">
              <w:rPr>
                <w:rFonts w:cs="Century Gothic"/>
                <w:color w:val="000000" w:themeColor="text1"/>
              </w:rPr>
              <w:t xml:space="preserve">more widely </w:t>
            </w:r>
            <w:r w:rsidR="002A5C5F">
              <w:rPr>
                <w:rFonts w:cs="Century Gothic"/>
                <w:color w:val="000000" w:themeColor="text1"/>
              </w:rPr>
              <w:t>given the lack of available development land as a result of both dense urbanisation and the de</w:t>
            </w:r>
            <w:r w:rsidR="00EE5036">
              <w:rPr>
                <w:rFonts w:cs="Century Gothic"/>
                <w:color w:val="000000" w:themeColor="text1"/>
              </w:rPr>
              <w:t xml:space="preserve">signation of Green Belt status. </w:t>
            </w:r>
            <w:r w:rsidR="00633E5F">
              <w:rPr>
                <w:rFonts w:cs="Century Gothic"/>
                <w:color w:val="000000" w:themeColor="text1"/>
              </w:rPr>
              <w:t xml:space="preserve">The </w:t>
            </w:r>
            <w:r w:rsidR="00EE5036">
              <w:rPr>
                <w:rFonts w:cs="Century Gothic"/>
                <w:color w:val="000000" w:themeColor="text1"/>
              </w:rPr>
              <w:t xml:space="preserve">Airport Business Park provides a major opportunity to address this and provide high quality employment land in a strategic and highly accessible location. </w:t>
            </w:r>
          </w:p>
          <w:p w:rsidR="00650EEA" w:rsidRPr="00650EEA" w:rsidRDefault="00650EEA" w:rsidP="00650EEA">
            <w:pPr>
              <w:pStyle w:val="ListParagraph"/>
              <w:autoSpaceDE w:val="0"/>
              <w:autoSpaceDN w:val="0"/>
              <w:adjustRightInd w:val="0"/>
              <w:ind w:left="360"/>
              <w:jc w:val="both"/>
              <w:rPr>
                <w:rFonts w:cs="FuturaLtBT"/>
                <w:b/>
              </w:rPr>
            </w:pPr>
          </w:p>
          <w:p w:rsidR="00664831" w:rsidRDefault="00664831" w:rsidP="00650EEA">
            <w:pPr>
              <w:pStyle w:val="ListParagraph"/>
              <w:numPr>
                <w:ilvl w:val="0"/>
                <w:numId w:val="20"/>
              </w:numPr>
              <w:autoSpaceDE w:val="0"/>
              <w:autoSpaceDN w:val="0"/>
              <w:adjustRightInd w:val="0"/>
              <w:jc w:val="both"/>
              <w:rPr>
                <w:rFonts w:cs="FuturaLtBT"/>
                <w:b/>
              </w:rPr>
            </w:pPr>
            <w:r>
              <w:rPr>
                <w:rFonts w:cs="FuturaLtBT"/>
                <w:b/>
              </w:rPr>
              <w:t>Responding to live occupier enquiries</w:t>
            </w:r>
          </w:p>
          <w:p w:rsidR="00664831" w:rsidRDefault="00664831" w:rsidP="00664831">
            <w:pPr>
              <w:autoSpaceDE w:val="0"/>
              <w:autoSpaceDN w:val="0"/>
              <w:adjustRightInd w:val="0"/>
              <w:jc w:val="both"/>
              <w:rPr>
                <w:rFonts w:cs="FuturaLtBT"/>
                <w:b/>
              </w:rPr>
            </w:pPr>
          </w:p>
          <w:p w:rsidR="00DC1BB4" w:rsidRDefault="00664831" w:rsidP="00664831">
            <w:pPr>
              <w:autoSpaceDE w:val="0"/>
              <w:autoSpaceDN w:val="0"/>
              <w:adjustRightInd w:val="0"/>
              <w:jc w:val="both"/>
              <w:rPr>
                <w:rFonts w:cs="FuturaLtBT"/>
              </w:rPr>
            </w:pPr>
            <w:r w:rsidRPr="00DC1BB4">
              <w:rPr>
                <w:rFonts w:cs="FuturaLtBT"/>
              </w:rPr>
              <w:t xml:space="preserve">HBDL has not yet commenced the delivery of a marketing campaign for the site and will do so when there is further certainty around planning and funding commitments in early 2016. However, it has already </w:t>
            </w:r>
            <w:r w:rsidR="00DC1BB4" w:rsidRPr="00DC1BB4">
              <w:rPr>
                <w:rFonts w:cs="FuturaLtBT"/>
              </w:rPr>
              <w:t>had a number of enquiries from occupiers interested in the site, several of which remain live and current. These need to remain confidential at this stage but a high level breakdown is provided below of existing live requirements known to HBDL at this stage:</w:t>
            </w:r>
          </w:p>
          <w:p w:rsidR="00DC1BB4" w:rsidRDefault="00DC1BB4" w:rsidP="00664831">
            <w:pPr>
              <w:autoSpaceDE w:val="0"/>
              <w:autoSpaceDN w:val="0"/>
              <w:adjustRightInd w:val="0"/>
              <w:jc w:val="both"/>
              <w:rPr>
                <w:rFonts w:cs="FuturaLtBT"/>
                <w:b/>
              </w:rPr>
            </w:pPr>
          </w:p>
          <w:tbl>
            <w:tblPr>
              <w:tblStyle w:val="TableGrid"/>
              <w:tblW w:w="0" w:type="auto"/>
              <w:tblLook w:val="04A0"/>
            </w:tblPr>
            <w:tblGrid>
              <w:gridCol w:w="2486"/>
              <w:gridCol w:w="2487"/>
              <w:gridCol w:w="2487"/>
            </w:tblGrid>
            <w:tr w:rsidR="00DC1BB4" w:rsidTr="00DC1BB4">
              <w:tc>
                <w:tcPr>
                  <w:tcW w:w="2486" w:type="dxa"/>
                  <w:shd w:val="clear" w:color="auto" w:fill="D9D9D9" w:themeFill="background1" w:themeFillShade="D9"/>
                </w:tcPr>
                <w:p w:rsidR="00DC1BB4" w:rsidRDefault="00DC1BB4" w:rsidP="00664831">
                  <w:pPr>
                    <w:autoSpaceDE w:val="0"/>
                    <w:autoSpaceDN w:val="0"/>
                    <w:adjustRightInd w:val="0"/>
                    <w:jc w:val="both"/>
                    <w:rPr>
                      <w:rFonts w:cs="FuturaLtBT"/>
                      <w:b/>
                    </w:rPr>
                  </w:pPr>
                  <w:r>
                    <w:rPr>
                      <w:rFonts w:cs="FuturaLtBT"/>
                      <w:b/>
                    </w:rPr>
                    <w:t>Company</w:t>
                  </w:r>
                </w:p>
              </w:tc>
              <w:tc>
                <w:tcPr>
                  <w:tcW w:w="2487" w:type="dxa"/>
                  <w:shd w:val="clear" w:color="auto" w:fill="D9D9D9" w:themeFill="background1" w:themeFillShade="D9"/>
                </w:tcPr>
                <w:p w:rsidR="00DC1BB4" w:rsidRDefault="00DC1BB4" w:rsidP="00664831">
                  <w:pPr>
                    <w:autoSpaceDE w:val="0"/>
                    <w:autoSpaceDN w:val="0"/>
                    <w:adjustRightInd w:val="0"/>
                    <w:jc w:val="both"/>
                    <w:rPr>
                      <w:rFonts w:cs="FuturaLtBT"/>
                      <w:b/>
                    </w:rPr>
                  </w:pPr>
                  <w:r>
                    <w:rPr>
                      <w:rFonts w:cs="FuturaLtBT"/>
                      <w:b/>
                    </w:rPr>
                    <w:t>Background/Activity</w:t>
                  </w:r>
                </w:p>
              </w:tc>
              <w:tc>
                <w:tcPr>
                  <w:tcW w:w="2487" w:type="dxa"/>
                  <w:shd w:val="clear" w:color="auto" w:fill="D9D9D9" w:themeFill="background1" w:themeFillShade="D9"/>
                </w:tcPr>
                <w:p w:rsidR="00DC1BB4" w:rsidRDefault="00DC1BB4" w:rsidP="00664831">
                  <w:pPr>
                    <w:autoSpaceDE w:val="0"/>
                    <w:autoSpaceDN w:val="0"/>
                    <w:adjustRightInd w:val="0"/>
                    <w:jc w:val="both"/>
                    <w:rPr>
                      <w:rFonts w:cs="FuturaLtBT"/>
                      <w:b/>
                    </w:rPr>
                  </w:pPr>
                  <w:r>
                    <w:rPr>
                      <w:rFonts w:cs="FuturaLtBT"/>
                      <w:b/>
                    </w:rPr>
                    <w:t>Requirement</w:t>
                  </w:r>
                </w:p>
              </w:tc>
            </w:tr>
            <w:tr w:rsidR="00DC1BB4" w:rsidTr="00DC1BB4">
              <w:tc>
                <w:tcPr>
                  <w:tcW w:w="2486" w:type="dxa"/>
                </w:tcPr>
                <w:p w:rsidR="00DC1BB4" w:rsidRPr="00DC1BB4" w:rsidRDefault="00DC1BB4" w:rsidP="00664831">
                  <w:pPr>
                    <w:autoSpaceDE w:val="0"/>
                    <w:autoSpaceDN w:val="0"/>
                    <w:adjustRightInd w:val="0"/>
                    <w:jc w:val="both"/>
                    <w:rPr>
                      <w:rFonts w:cs="FuturaLtBT"/>
                    </w:rPr>
                  </w:pPr>
                  <w:r w:rsidRPr="00DC1BB4">
                    <w:rPr>
                      <w:rFonts w:cs="FuturaLtBT"/>
                    </w:rPr>
                    <w:lastRenderedPageBreak/>
                    <w:t>A</w:t>
                  </w:r>
                </w:p>
              </w:tc>
              <w:tc>
                <w:tcPr>
                  <w:tcW w:w="2487" w:type="dxa"/>
                </w:tcPr>
                <w:p w:rsidR="00DC1BB4" w:rsidRPr="00DC1BB4" w:rsidRDefault="00DC1BB4" w:rsidP="00664831">
                  <w:pPr>
                    <w:autoSpaceDE w:val="0"/>
                    <w:autoSpaceDN w:val="0"/>
                    <w:adjustRightInd w:val="0"/>
                    <w:jc w:val="both"/>
                    <w:rPr>
                      <w:rFonts w:cs="FuturaLtBT"/>
                    </w:rPr>
                  </w:pPr>
                  <w:r w:rsidRPr="00DC1BB4">
                    <w:rPr>
                      <w:rFonts w:cs="FuturaLtBT"/>
                    </w:rPr>
                    <w:t>Design/manufacture products for the aviation industry</w:t>
                  </w:r>
                </w:p>
              </w:tc>
              <w:tc>
                <w:tcPr>
                  <w:tcW w:w="2487" w:type="dxa"/>
                </w:tcPr>
                <w:p w:rsidR="00DC1BB4" w:rsidRPr="00DC1BB4" w:rsidRDefault="00DC1BB4" w:rsidP="00664831">
                  <w:pPr>
                    <w:autoSpaceDE w:val="0"/>
                    <w:autoSpaceDN w:val="0"/>
                    <w:adjustRightInd w:val="0"/>
                    <w:jc w:val="both"/>
                    <w:rPr>
                      <w:rFonts w:cs="FuturaLtBT"/>
                    </w:rPr>
                  </w:pPr>
                  <w:r w:rsidRPr="00DC1BB4">
                    <w:rPr>
                      <w:rFonts w:cs="FuturaLtBT"/>
                    </w:rPr>
                    <w:t>200,000 sqft</w:t>
                  </w:r>
                </w:p>
              </w:tc>
            </w:tr>
            <w:tr w:rsidR="00DC1BB4" w:rsidTr="00DC1BB4">
              <w:tc>
                <w:tcPr>
                  <w:tcW w:w="2486" w:type="dxa"/>
                </w:tcPr>
                <w:p w:rsidR="00DC1BB4" w:rsidRPr="00DC1BB4" w:rsidRDefault="00DC1BB4" w:rsidP="00664831">
                  <w:pPr>
                    <w:autoSpaceDE w:val="0"/>
                    <w:autoSpaceDN w:val="0"/>
                    <w:adjustRightInd w:val="0"/>
                    <w:jc w:val="both"/>
                    <w:rPr>
                      <w:rFonts w:cs="FuturaLtBT"/>
                    </w:rPr>
                  </w:pPr>
                  <w:r w:rsidRPr="00DC1BB4">
                    <w:rPr>
                      <w:rFonts w:cs="FuturaLtBT"/>
                    </w:rPr>
                    <w:t>B</w:t>
                  </w:r>
                </w:p>
              </w:tc>
              <w:tc>
                <w:tcPr>
                  <w:tcW w:w="2487" w:type="dxa"/>
                </w:tcPr>
                <w:p w:rsidR="00DC1BB4" w:rsidRPr="00DC1BB4" w:rsidRDefault="00DC1BB4" w:rsidP="00664831">
                  <w:pPr>
                    <w:autoSpaceDE w:val="0"/>
                    <w:autoSpaceDN w:val="0"/>
                    <w:adjustRightInd w:val="0"/>
                    <w:jc w:val="both"/>
                    <w:rPr>
                      <w:rFonts w:cs="FuturaLtBT"/>
                    </w:rPr>
                  </w:pPr>
                  <w:r w:rsidRPr="00DC1BB4">
                    <w:rPr>
                      <w:rFonts w:cs="FuturaLtBT"/>
                    </w:rPr>
                    <w:t>Hotel operator</w:t>
                  </w:r>
                </w:p>
              </w:tc>
              <w:tc>
                <w:tcPr>
                  <w:tcW w:w="2487" w:type="dxa"/>
                </w:tcPr>
                <w:p w:rsidR="00DC1BB4" w:rsidRPr="00DC1BB4" w:rsidRDefault="00DC1BB4" w:rsidP="00664831">
                  <w:pPr>
                    <w:autoSpaceDE w:val="0"/>
                    <w:autoSpaceDN w:val="0"/>
                    <w:adjustRightInd w:val="0"/>
                    <w:jc w:val="both"/>
                    <w:rPr>
                      <w:rFonts w:cs="FuturaLtBT"/>
                    </w:rPr>
                  </w:pPr>
                  <w:r w:rsidRPr="00DC1BB4">
                    <w:rPr>
                      <w:rFonts w:cs="FuturaLtBT"/>
                    </w:rPr>
                    <w:t>2.5-3 acres for a 120-150 bed hotel plus leisure facilities</w:t>
                  </w:r>
                </w:p>
              </w:tc>
            </w:tr>
            <w:tr w:rsidR="00DC1BB4" w:rsidTr="00DC1BB4">
              <w:tc>
                <w:tcPr>
                  <w:tcW w:w="2486" w:type="dxa"/>
                </w:tcPr>
                <w:p w:rsidR="00DC1BB4" w:rsidRPr="00DC1BB4" w:rsidRDefault="00DC1BB4" w:rsidP="00664831">
                  <w:pPr>
                    <w:autoSpaceDE w:val="0"/>
                    <w:autoSpaceDN w:val="0"/>
                    <w:adjustRightInd w:val="0"/>
                    <w:jc w:val="both"/>
                    <w:rPr>
                      <w:rFonts w:cs="FuturaLtBT"/>
                    </w:rPr>
                  </w:pPr>
                  <w:r w:rsidRPr="00DC1BB4">
                    <w:rPr>
                      <w:rFonts w:cs="FuturaLtBT"/>
                    </w:rPr>
                    <w:t>C</w:t>
                  </w:r>
                </w:p>
              </w:tc>
              <w:tc>
                <w:tcPr>
                  <w:tcW w:w="2487" w:type="dxa"/>
                </w:tcPr>
                <w:p w:rsidR="00DC1BB4" w:rsidRPr="00DC1BB4" w:rsidRDefault="00DC1BB4" w:rsidP="00664831">
                  <w:pPr>
                    <w:autoSpaceDE w:val="0"/>
                    <w:autoSpaceDN w:val="0"/>
                    <w:adjustRightInd w:val="0"/>
                    <w:jc w:val="both"/>
                    <w:rPr>
                      <w:rFonts w:cs="FuturaLtBT"/>
                    </w:rPr>
                  </w:pPr>
                  <w:r w:rsidRPr="00DC1BB4">
                    <w:rPr>
                      <w:rFonts w:cs="FuturaLtBT"/>
                    </w:rPr>
                    <w:t>Design/manufacture of fire alarms</w:t>
                  </w:r>
                </w:p>
              </w:tc>
              <w:tc>
                <w:tcPr>
                  <w:tcW w:w="2487" w:type="dxa"/>
                </w:tcPr>
                <w:p w:rsidR="00DC1BB4" w:rsidRPr="00DC1BB4" w:rsidRDefault="00DC1BB4" w:rsidP="00664831">
                  <w:pPr>
                    <w:autoSpaceDE w:val="0"/>
                    <w:autoSpaceDN w:val="0"/>
                    <w:adjustRightInd w:val="0"/>
                    <w:jc w:val="both"/>
                    <w:rPr>
                      <w:rFonts w:cs="FuturaLtBT"/>
                    </w:rPr>
                  </w:pPr>
                  <w:r w:rsidRPr="00DC1BB4">
                    <w:rPr>
                      <w:rFonts w:cs="FuturaLtBT"/>
                    </w:rPr>
                    <w:t>Unknown</w:t>
                  </w:r>
                </w:p>
              </w:tc>
            </w:tr>
            <w:tr w:rsidR="00DC1BB4" w:rsidTr="00DC1BB4">
              <w:tc>
                <w:tcPr>
                  <w:tcW w:w="2486" w:type="dxa"/>
                </w:tcPr>
                <w:p w:rsidR="00DC1BB4" w:rsidRPr="00DC1BB4" w:rsidRDefault="00DC1BB4" w:rsidP="00664831">
                  <w:pPr>
                    <w:autoSpaceDE w:val="0"/>
                    <w:autoSpaceDN w:val="0"/>
                    <w:adjustRightInd w:val="0"/>
                    <w:jc w:val="both"/>
                    <w:rPr>
                      <w:rFonts w:cs="FuturaLtBT"/>
                    </w:rPr>
                  </w:pPr>
                  <w:r w:rsidRPr="00DC1BB4">
                    <w:rPr>
                      <w:rFonts w:cs="FuturaLtBT"/>
                    </w:rPr>
                    <w:t>D</w:t>
                  </w:r>
                </w:p>
              </w:tc>
              <w:tc>
                <w:tcPr>
                  <w:tcW w:w="2487" w:type="dxa"/>
                </w:tcPr>
                <w:p w:rsidR="00DC1BB4" w:rsidRPr="00DC1BB4" w:rsidRDefault="00DC1BB4" w:rsidP="00664831">
                  <w:pPr>
                    <w:autoSpaceDE w:val="0"/>
                    <w:autoSpaceDN w:val="0"/>
                    <w:adjustRightInd w:val="0"/>
                    <w:jc w:val="both"/>
                    <w:rPr>
                      <w:rFonts w:cs="FuturaLtBT"/>
                    </w:rPr>
                  </w:pPr>
                  <w:r w:rsidRPr="00DC1BB4">
                    <w:rPr>
                      <w:rFonts w:cs="FuturaLtBT"/>
                    </w:rPr>
                    <w:t>Printing</w:t>
                  </w:r>
                </w:p>
              </w:tc>
              <w:tc>
                <w:tcPr>
                  <w:tcW w:w="2487" w:type="dxa"/>
                </w:tcPr>
                <w:p w:rsidR="00DC1BB4" w:rsidRPr="00DC1BB4" w:rsidRDefault="00DC1BB4" w:rsidP="00664831">
                  <w:pPr>
                    <w:autoSpaceDE w:val="0"/>
                    <w:autoSpaceDN w:val="0"/>
                    <w:adjustRightInd w:val="0"/>
                    <w:jc w:val="both"/>
                    <w:rPr>
                      <w:rFonts w:cs="FuturaLtBT"/>
                    </w:rPr>
                  </w:pPr>
                  <w:r w:rsidRPr="00DC1BB4">
                    <w:rPr>
                      <w:rFonts w:cs="FuturaLtBT"/>
                    </w:rPr>
                    <w:t>100,000 sqft B1/B2</w:t>
                  </w:r>
                </w:p>
              </w:tc>
            </w:tr>
            <w:tr w:rsidR="00DC1BB4" w:rsidTr="00DC1BB4">
              <w:tc>
                <w:tcPr>
                  <w:tcW w:w="2486" w:type="dxa"/>
                </w:tcPr>
                <w:p w:rsidR="00DC1BB4" w:rsidRPr="00DC1BB4" w:rsidRDefault="00DC1BB4" w:rsidP="00664831">
                  <w:pPr>
                    <w:autoSpaceDE w:val="0"/>
                    <w:autoSpaceDN w:val="0"/>
                    <w:adjustRightInd w:val="0"/>
                    <w:jc w:val="both"/>
                    <w:rPr>
                      <w:rFonts w:cs="FuturaLtBT"/>
                    </w:rPr>
                  </w:pPr>
                  <w:r w:rsidRPr="00DC1BB4">
                    <w:rPr>
                      <w:rFonts w:cs="FuturaLtBT"/>
                    </w:rPr>
                    <w:t>E</w:t>
                  </w:r>
                </w:p>
              </w:tc>
              <w:tc>
                <w:tcPr>
                  <w:tcW w:w="2487" w:type="dxa"/>
                </w:tcPr>
                <w:p w:rsidR="00DC1BB4" w:rsidRPr="00DC1BB4" w:rsidRDefault="00DC1BB4" w:rsidP="00664831">
                  <w:pPr>
                    <w:autoSpaceDE w:val="0"/>
                    <w:autoSpaceDN w:val="0"/>
                    <w:adjustRightInd w:val="0"/>
                    <w:jc w:val="both"/>
                    <w:rPr>
                      <w:rFonts w:cs="FuturaLtBT"/>
                    </w:rPr>
                  </w:pPr>
                  <w:r w:rsidRPr="00DC1BB4">
                    <w:rPr>
                      <w:rFonts w:cs="FuturaLtBT"/>
                    </w:rPr>
                    <w:t>Manufacture of display boards</w:t>
                  </w:r>
                </w:p>
              </w:tc>
              <w:tc>
                <w:tcPr>
                  <w:tcW w:w="2487" w:type="dxa"/>
                </w:tcPr>
                <w:p w:rsidR="00DC1BB4" w:rsidRPr="00DC1BB4" w:rsidRDefault="00DC1BB4" w:rsidP="00664831">
                  <w:pPr>
                    <w:autoSpaceDE w:val="0"/>
                    <w:autoSpaceDN w:val="0"/>
                    <w:adjustRightInd w:val="0"/>
                    <w:jc w:val="both"/>
                    <w:rPr>
                      <w:rFonts w:cs="FuturaLtBT"/>
                    </w:rPr>
                  </w:pPr>
                  <w:r w:rsidRPr="00DC1BB4">
                    <w:rPr>
                      <w:rFonts w:cs="FuturaLtBT"/>
                    </w:rPr>
                    <w:t>36,000 sqft</w:t>
                  </w:r>
                </w:p>
              </w:tc>
            </w:tr>
            <w:tr w:rsidR="00DC1BB4" w:rsidTr="00DC1BB4">
              <w:tc>
                <w:tcPr>
                  <w:tcW w:w="2486" w:type="dxa"/>
                </w:tcPr>
                <w:p w:rsidR="00DC1BB4" w:rsidRPr="00DC1BB4" w:rsidRDefault="00DC1BB4" w:rsidP="00664831">
                  <w:pPr>
                    <w:autoSpaceDE w:val="0"/>
                    <w:autoSpaceDN w:val="0"/>
                    <w:adjustRightInd w:val="0"/>
                    <w:jc w:val="both"/>
                    <w:rPr>
                      <w:rFonts w:cs="FuturaLtBT"/>
                    </w:rPr>
                  </w:pPr>
                  <w:r w:rsidRPr="00DC1BB4">
                    <w:rPr>
                      <w:rFonts w:cs="FuturaLtBT"/>
                    </w:rPr>
                    <w:t>F</w:t>
                  </w:r>
                </w:p>
              </w:tc>
              <w:tc>
                <w:tcPr>
                  <w:tcW w:w="2487" w:type="dxa"/>
                </w:tcPr>
                <w:p w:rsidR="00DC1BB4" w:rsidRPr="00DC1BB4" w:rsidRDefault="00DC1BB4" w:rsidP="00664831">
                  <w:pPr>
                    <w:autoSpaceDE w:val="0"/>
                    <w:autoSpaceDN w:val="0"/>
                    <w:adjustRightInd w:val="0"/>
                    <w:jc w:val="both"/>
                    <w:rPr>
                      <w:rFonts w:cs="FuturaLtBT"/>
                    </w:rPr>
                  </w:pPr>
                  <w:r w:rsidRPr="00DC1BB4">
                    <w:rPr>
                      <w:rFonts w:cs="FuturaLtBT"/>
                    </w:rPr>
                    <w:t>Photographers/designers</w:t>
                  </w:r>
                </w:p>
              </w:tc>
              <w:tc>
                <w:tcPr>
                  <w:tcW w:w="2487" w:type="dxa"/>
                </w:tcPr>
                <w:p w:rsidR="00DC1BB4" w:rsidRPr="00DC1BB4" w:rsidRDefault="00DC1BB4" w:rsidP="00664831">
                  <w:pPr>
                    <w:autoSpaceDE w:val="0"/>
                    <w:autoSpaceDN w:val="0"/>
                    <w:adjustRightInd w:val="0"/>
                    <w:jc w:val="both"/>
                    <w:rPr>
                      <w:rFonts w:cs="FuturaLtBT"/>
                    </w:rPr>
                  </w:pPr>
                  <w:r w:rsidRPr="00DC1BB4">
                    <w:rPr>
                      <w:rFonts w:cs="FuturaLtBT"/>
                    </w:rPr>
                    <w:t>15,000 sqft</w:t>
                  </w:r>
                </w:p>
              </w:tc>
            </w:tr>
            <w:tr w:rsidR="00DC1BB4" w:rsidTr="00DC1BB4">
              <w:tc>
                <w:tcPr>
                  <w:tcW w:w="2486" w:type="dxa"/>
                </w:tcPr>
                <w:p w:rsidR="00DC1BB4" w:rsidRPr="00DC1BB4" w:rsidRDefault="00DC1BB4" w:rsidP="00664831">
                  <w:pPr>
                    <w:autoSpaceDE w:val="0"/>
                    <w:autoSpaceDN w:val="0"/>
                    <w:adjustRightInd w:val="0"/>
                    <w:jc w:val="both"/>
                    <w:rPr>
                      <w:rFonts w:cs="FuturaLtBT"/>
                    </w:rPr>
                  </w:pPr>
                  <w:r w:rsidRPr="00DC1BB4">
                    <w:rPr>
                      <w:rFonts w:cs="FuturaLtBT"/>
                    </w:rPr>
                    <w:t>G</w:t>
                  </w:r>
                </w:p>
              </w:tc>
              <w:tc>
                <w:tcPr>
                  <w:tcW w:w="2487" w:type="dxa"/>
                </w:tcPr>
                <w:p w:rsidR="00DC1BB4" w:rsidRPr="00DC1BB4" w:rsidRDefault="00DC1BB4" w:rsidP="00664831">
                  <w:pPr>
                    <w:autoSpaceDE w:val="0"/>
                    <w:autoSpaceDN w:val="0"/>
                    <w:adjustRightInd w:val="0"/>
                    <w:jc w:val="both"/>
                    <w:rPr>
                      <w:rFonts w:cs="FuturaLtBT"/>
                    </w:rPr>
                  </w:pPr>
                  <w:r w:rsidRPr="00DC1BB4">
                    <w:rPr>
                      <w:rFonts w:cs="FuturaLtBT"/>
                    </w:rPr>
                    <w:t>Manufacture of medical instruments</w:t>
                  </w:r>
                </w:p>
              </w:tc>
              <w:tc>
                <w:tcPr>
                  <w:tcW w:w="2487" w:type="dxa"/>
                </w:tcPr>
                <w:p w:rsidR="00DC1BB4" w:rsidRPr="00DC1BB4" w:rsidRDefault="00DC1BB4" w:rsidP="00664831">
                  <w:pPr>
                    <w:autoSpaceDE w:val="0"/>
                    <w:autoSpaceDN w:val="0"/>
                    <w:adjustRightInd w:val="0"/>
                    <w:jc w:val="both"/>
                    <w:rPr>
                      <w:rFonts w:cs="FuturaLtBT"/>
                    </w:rPr>
                  </w:pPr>
                  <w:r w:rsidRPr="00DC1BB4">
                    <w:rPr>
                      <w:rFonts w:cs="FuturaLtBT"/>
                    </w:rPr>
                    <w:t>c.12,000 sqft +</w:t>
                  </w:r>
                </w:p>
              </w:tc>
            </w:tr>
          </w:tbl>
          <w:p w:rsidR="00DC1BB4" w:rsidRPr="00CD52D2" w:rsidRDefault="00DC1BB4" w:rsidP="00664831">
            <w:pPr>
              <w:autoSpaceDE w:val="0"/>
              <w:autoSpaceDN w:val="0"/>
              <w:adjustRightInd w:val="0"/>
              <w:jc w:val="both"/>
              <w:rPr>
                <w:rFonts w:cs="FuturaLtBT"/>
              </w:rPr>
            </w:pPr>
          </w:p>
          <w:p w:rsidR="00664831" w:rsidRDefault="00DC1BB4" w:rsidP="00664831">
            <w:pPr>
              <w:autoSpaceDE w:val="0"/>
              <w:autoSpaceDN w:val="0"/>
              <w:adjustRightInd w:val="0"/>
              <w:jc w:val="both"/>
              <w:rPr>
                <w:rFonts w:cs="FuturaLtBT"/>
              </w:rPr>
            </w:pPr>
            <w:r w:rsidRPr="00CD52D2">
              <w:rPr>
                <w:rFonts w:cs="FuturaLtBT"/>
              </w:rPr>
              <w:t xml:space="preserve">The above equates to a total of c.360,000 sqft </w:t>
            </w:r>
            <w:r w:rsidR="00CD52D2" w:rsidRPr="00CD52D2">
              <w:rPr>
                <w:rFonts w:cs="FuturaLtBT"/>
              </w:rPr>
              <w:t>(plus a hotel) of live enquiries for the site before any formal site marketing has commenced. Given that the</w:t>
            </w:r>
            <w:r w:rsidR="00633E5F">
              <w:rPr>
                <w:rFonts w:cs="FuturaLtBT"/>
              </w:rPr>
              <w:t xml:space="preserve"> phase 1 scheme will unlock c.19</w:t>
            </w:r>
            <w:r w:rsidR="00CD52D2" w:rsidRPr="00CD52D2">
              <w:rPr>
                <w:rFonts w:cs="FuturaLtBT"/>
              </w:rPr>
              <w:t>0,000 sqft of commercial floorspace</w:t>
            </w:r>
            <w:r w:rsidR="00633E5F">
              <w:rPr>
                <w:rFonts w:cs="FuturaLtBT"/>
              </w:rPr>
              <w:t xml:space="preserve"> (excluding the hotel floorspace)</w:t>
            </w:r>
            <w:r w:rsidR="00CD52D2" w:rsidRPr="00CD52D2">
              <w:rPr>
                <w:rFonts w:cs="FuturaLtBT"/>
              </w:rPr>
              <w:t>, this is a good indicator of potential demand f</w:t>
            </w:r>
            <w:r w:rsidR="00633E5F">
              <w:rPr>
                <w:rFonts w:cs="FuturaLtBT"/>
              </w:rPr>
              <w:t>or the phase 1 scheme</w:t>
            </w:r>
            <w:r w:rsidR="00311C69">
              <w:rPr>
                <w:rFonts w:cs="FuturaLtBT"/>
              </w:rPr>
              <w:t xml:space="preserve">. </w:t>
            </w:r>
            <w:r w:rsidR="00633E5F">
              <w:rPr>
                <w:rFonts w:cs="FuturaLtBT"/>
              </w:rPr>
              <w:t xml:space="preserve"> </w:t>
            </w:r>
          </w:p>
          <w:p w:rsidR="00CD52D2" w:rsidRPr="00CD52D2" w:rsidRDefault="00CD52D2" w:rsidP="00664831">
            <w:pPr>
              <w:autoSpaceDE w:val="0"/>
              <w:autoSpaceDN w:val="0"/>
              <w:adjustRightInd w:val="0"/>
              <w:jc w:val="both"/>
              <w:rPr>
                <w:rFonts w:cs="FuturaLtBT"/>
              </w:rPr>
            </w:pPr>
          </w:p>
          <w:p w:rsidR="00650EEA" w:rsidRDefault="00A86B64" w:rsidP="00650EEA">
            <w:pPr>
              <w:pStyle w:val="ListParagraph"/>
              <w:numPr>
                <w:ilvl w:val="0"/>
                <w:numId w:val="20"/>
              </w:numPr>
              <w:autoSpaceDE w:val="0"/>
              <w:autoSpaceDN w:val="0"/>
              <w:adjustRightInd w:val="0"/>
              <w:jc w:val="both"/>
              <w:rPr>
                <w:rFonts w:cs="FuturaLtBT"/>
                <w:b/>
              </w:rPr>
            </w:pPr>
            <w:r>
              <w:rPr>
                <w:rFonts w:cs="FuturaLtBT"/>
                <w:b/>
              </w:rPr>
              <w:t>Supporting Airport g</w:t>
            </w:r>
            <w:r w:rsidR="00650EEA" w:rsidRPr="00650EEA">
              <w:rPr>
                <w:rFonts w:cs="FuturaLtBT"/>
                <w:b/>
              </w:rPr>
              <w:t>rowth aspirations</w:t>
            </w:r>
          </w:p>
          <w:p w:rsidR="00A86B64" w:rsidRDefault="00A86B64" w:rsidP="00A86B64">
            <w:pPr>
              <w:autoSpaceDE w:val="0"/>
              <w:autoSpaceDN w:val="0"/>
              <w:adjustRightInd w:val="0"/>
              <w:jc w:val="both"/>
              <w:rPr>
                <w:rFonts w:cs="FuturaLtBT"/>
                <w:b/>
              </w:rPr>
            </w:pPr>
          </w:p>
          <w:p w:rsidR="00A86B64" w:rsidRPr="00070CC8" w:rsidRDefault="00A86B64" w:rsidP="00A86B64">
            <w:pPr>
              <w:autoSpaceDE w:val="0"/>
              <w:autoSpaceDN w:val="0"/>
              <w:adjustRightInd w:val="0"/>
              <w:jc w:val="both"/>
              <w:rPr>
                <w:rFonts w:cs="FuturaLtBT"/>
              </w:rPr>
            </w:pPr>
            <w:r w:rsidRPr="00070CC8">
              <w:rPr>
                <w:rFonts w:cs="FuturaLtBT"/>
              </w:rPr>
              <w:t>The Stobart Group acquired London Southend in Airport in 2008 and has already made significant investments in it, with further investment planned. It officially opened its new termi</w:t>
            </w:r>
            <w:r w:rsidR="00311C69">
              <w:rPr>
                <w:rFonts w:cs="FuturaLtBT"/>
              </w:rPr>
              <w:t>nal building in 2012 and in 2014</w:t>
            </w:r>
            <w:r w:rsidRPr="00070CC8">
              <w:rPr>
                <w:rFonts w:cs="FuturaLtBT"/>
              </w:rPr>
              <w:t>, it was voted ‘Best Airport in the UK’ by Which?</w:t>
            </w:r>
            <w:r w:rsidR="00633E5F">
              <w:rPr>
                <w:rFonts w:cs="FuturaLtBT"/>
              </w:rPr>
              <w:t>.</w:t>
            </w:r>
            <w:r w:rsidRPr="00070CC8">
              <w:rPr>
                <w:rFonts w:cs="FuturaLtBT"/>
              </w:rPr>
              <w:t xml:space="preserve"> It was the fastest growing airport in Europe in 2</w:t>
            </w:r>
            <w:r w:rsidR="00311C69">
              <w:rPr>
                <w:rFonts w:cs="FuturaLtBT"/>
              </w:rPr>
              <w:t>012 and 2014 and in the same year</w:t>
            </w:r>
            <w:r w:rsidRPr="00070CC8">
              <w:rPr>
                <w:rFonts w:cs="FuturaLtBT"/>
              </w:rPr>
              <w:t xml:space="preserve">, a major new terminal extension was opened increasing the Airport’s capacity to 5m passengers per annum. It also offers its own dedicated rail terminal with direct links to London Liverpool Street in less than 1 hour. </w:t>
            </w:r>
            <w:r w:rsidR="008D7C9E" w:rsidRPr="00070CC8">
              <w:rPr>
                <w:rFonts w:cs="FuturaLtBT"/>
              </w:rPr>
              <w:t xml:space="preserve">In November 2015, it was announced by Government that it is to provide funding to provide increased flights from Carlisle Airport (also owned by Stobart) to Southend Airport. Stobart is also planning further investments in the Airport to attract new routes and airlines, enhancing international connectivity for leisure and trade. </w:t>
            </w:r>
          </w:p>
          <w:p w:rsidR="008D7C9E" w:rsidRPr="00070CC8" w:rsidRDefault="008D7C9E" w:rsidP="00A86B64">
            <w:pPr>
              <w:autoSpaceDE w:val="0"/>
              <w:autoSpaceDN w:val="0"/>
              <w:adjustRightInd w:val="0"/>
              <w:jc w:val="both"/>
              <w:rPr>
                <w:rFonts w:cs="FuturaLtBT"/>
              </w:rPr>
            </w:pPr>
          </w:p>
          <w:p w:rsidR="00633E5F" w:rsidRDefault="00EE5036" w:rsidP="00A86B64">
            <w:pPr>
              <w:autoSpaceDE w:val="0"/>
              <w:autoSpaceDN w:val="0"/>
              <w:adjustRightInd w:val="0"/>
              <w:jc w:val="both"/>
              <w:rPr>
                <w:rFonts w:cs="FuturaLtBT"/>
              </w:rPr>
            </w:pPr>
            <w:r>
              <w:rPr>
                <w:rFonts w:cs="FuturaLtBT"/>
              </w:rPr>
              <w:t>The</w:t>
            </w:r>
            <w:r w:rsidR="008D7C9E" w:rsidRPr="00070CC8">
              <w:rPr>
                <w:rFonts w:cs="FuturaLtBT"/>
              </w:rPr>
              <w:t xml:space="preserve"> Airport </w:t>
            </w:r>
            <w:r>
              <w:rPr>
                <w:rFonts w:cs="FuturaLtBT"/>
              </w:rPr>
              <w:t>site is already home to a cluster of</w:t>
            </w:r>
            <w:r w:rsidR="00787904">
              <w:rPr>
                <w:rFonts w:cs="FuturaLtBT"/>
              </w:rPr>
              <w:t xml:space="preserve"> Maintenance, Repair and Overhaul businesses on the</w:t>
            </w:r>
            <w:r>
              <w:rPr>
                <w:rFonts w:cs="FuturaLtBT"/>
              </w:rPr>
              <w:t xml:space="preserve"> </w:t>
            </w:r>
            <w:r w:rsidR="00787904">
              <w:rPr>
                <w:rFonts w:cs="FuturaLtBT"/>
              </w:rPr>
              <w:t>Aviation Way Industrial Estate. These businesses undertake a range of engineering and advanced manufacturing activities in the aviation sector and include established and rapidly growing businesses such as Ipeco and InFlite</w:t>
            </w:r>
            <w:r w:rsidR="00633E5F">
              <w:rPr>
                <w:rFonts w:cs="FuturaLtBT"/>
              </w:rPr>
              <w:t xml:space="preserve">. However, there is limited expansion land on this site and no available modern premises to meet current occupier demands. Ipeco is a good example of a current major Southend employer that is seeking new modern premises within an aviation cluster </w:t>
            </w:r>
            <w:r w:rsidR="00B557BA">
              <w:rPr>
                <w:rFonts w:cs="FuturaLtBT"/>
              </w:rPr>
              <w:t xml:space="preserve">close to the Airport </w:t>
            </w:r>
            <w:r w:rsidR="00633E5F">
              <w:rPr>
                <w:rFonts w:cs="FuturaLtBT"/>
              </w:rPr>
              <w:t xml:space="preserve">to enable its expansion plans but at present is constrained by the lack of available supply. In the absence of the ABP scheme, there is a risk that businesses such as this leave the SELEP area. </w:t>
            </w:r>
          </w:p>
          <w:p w:rsidR="00787904" w:rsidRDefault="00633E5F" w:rsidP="00787904">
            <w:pPr>
              <w:pStyle w:val="Heading2"/>
              <w:numPr>
                <w:ilvl w:val="0"/>
                <w:numId w:val="0"/>
              </w:numPr>
              <w:outlineLvl w:val="1"/>
            </w:pPr>
            <w:r>
              <w:t>A</w:t>
            </w:r>
            <w:r w:rsidR="00787904">
              <w:t xml:space="preserve"> significant opportunity exists for the development of a complementary new commercial hub of economic activity. Given its growth projections, there is a distinct opportunity to capitalise upon the Airport ‘asset’ and the attractiveness to businesses that an airport location would provide. This could provide a unique employment location within the area that could increase its attractiveness to inward investors and address the current lack of available large strategic commercial development sites across the Southend and Rochford economies.  </w:t>
            </w:r>
          </w:p>
          <w:p w:rsidR="00787904" w:rsidRDefault="00787904" w:rsidP="00724272">
            <w:pPr>
              <w:pStyle w:val="Heading2"/>
              <w:numPr>
                <w:ilvl w:val="0"/>
                <w:numId w:val="0"/>
              </w:numPr>
              <w:outlineLvl w:val="1"/>
            </w:pPr>
            <w:r>
              <w:t xml:space="preserve">An analysis of others similar regional UK airports identifies that many either have already or are developing commercial employment hubs around the airport assets. </w:t>
            </w:r>
            <w:r>
              <w:lastRenderedPageBreak/>
              <w:t>Examples include</w:t>
            </w:r>
            <w:r w:rsidR="00724272">
              <w:t>:</w:t>
            </w:r>
          </w:p>
          <w:p w:rsidR="00724272" w:rsidRPr="000D2AD9" w:rsidRDefault="00724272" w:rsidP="00724272">
            <w:pPr>
              <w:pStyle w:val="ListParagraph"/>
              <w:numPr>
                <w:ilvl w:val="0"/>
                <w:numId w:val="23"/>
              </w:numPr>
              <w:spacing w:line="276" w:lineRule="auto"/>
              <w:jc w:val="both"/>
              <w:rPr>
                <w:rFonts w:cs="Calibri"/>
              </w:rPr>
            </w:pPr>
            <w:r w:rsidRPr="000D2AD9">
              <w:rPr>
                <w:rFonts w:cs="Calibri"/>
                <w:b/>
              </w:rPr>
              <w:t>Newcastle Airport</w:t>
            </w:r>
            <w:r w:rsidRPr="000D2AD9">
              <w:rPr>
                <w:rFonts w:cs="Calibri"/>
              </w:rPr>
              <w:t xml:space="preserve"> – </w:t>
            </w:r>
            <w:r>
              <w:rPr>
                <w:rFonts w:cs="Calibri"/>
              </w:rPr>
              <w:t xml:space="preserve">has an existing </w:t>
            </w:r>
            <w:r w:rsidRPr="000D2AD9">
              <w:rPr>
                <w:rFonts w:cs="Calibri"/>
              </w:rPr>
              <w:t>7,000 sq</w:t>
            </w:r>
            <w:r>
              <w:rPr>
                <w:rFonts w:cs="Calibri"/>
              </w:rPr>
              <w:t xml:space="preserve"> </w:t>
            </w:r>
            <w:r w:rsidRPr="000D2AD9">
              <w:rPr>
                <w:rFonts w:cs="Calibri"/>
              </w:rPr>
              <w:t>m Freight Village (with expansion land) and the Airport Industrial Estate is located 3 miles from the Airport, comprising 18,000 sq</w:t>
            </w:r>
            <w:r>
              <w:rPr>
                <w:rFonts w:cs="Calibri"/>
              </w:rPr>
              <w:t xml:space="preserve"> </w:t>
            </w:r>
            <w:r w:rsidRPr="000D2AD9">
              <w:rPr>
                <w:rFonts w:cs="Calibri"/>
              </w:rPr>
              <w:t>m of light industrial floorspace (only c.460 sq</w:t>
            </w:r>
            <w:r>
              <w:rPr>
                <w:rFonts w:cs="Calibri"/>
              </w:rPr>
              <w:t xml:space="preserve"> </w:t>
            </w:r>
            <w:r w:rsidRPr="000D2AD9">
              <w:rPr>
                <w:rFonts w:cs="Calibri"/>
              </w:rPr>
              <w:t>m is vacant). The Newcastle International Airport Business Park is currently being marketed and comprises 50 hectares owned by the Airport which could accommodate up to 1m sq</w:t>
            </w:r>
            <w:r>
              <w:rPr>
                <w:rFonts w:cs="Calibri"/>
              </w:rPr>
              <w:t xml:space="preserve"> </w:t>
            </w:r>
            <w:r w:rsidRPr="000D2AD9">
              <w:rPr>
                <w:rFonts w:cs="Calibri"/>
              </w:rPr>
              <w:t>ft of commercial development (allocated in emerging Local Plan).</w:t>
            </w:r>
            <w:r>
              <w:rPr>
                <w:rFonts w:cs="Calibri"/>
              </w:rPr>
              <w:t xml:space="preserve">  There are</w:t>
            </w:r>
            <w:r w:rsidRPr="000D2AD9">
              <w:rPr>
                <w:rFonts w:cs="Calibri"/>
              </w:rPr>
              <w:t xml:space="preserve"> 7 hotels within a 2.5 mile radius of </w:t>
            </w:r>
            <w:r>
              <w:rPr>
                <w:rFonts w:cs="Calibri"/>
              </w:rPr>
              <w:t xml:space="preserve">the </w:t>
            </w:r>
            <w:r w:rsidRPr="000D2AD9">
              <w:rPr>
                <w:rFonts w:cs="Calibri"/>
              </w:rPr>
              <w:t xml:space="preserve">airport. </w:t>
            </w:r>
          </w:p>
          <w:p w:rsidR="00724272" w:rsidRPr="00724272" w:rsidRDefault="00724272" w:rsidP="00724272">
            <w:pPr>
              <w:pStyle w:val="ListParagraph"/>
              <w:numPr>
                <w:ilvl w:val="0"/>
                <w:numId w:val="23"/>
              </w:numPr>
              <w:spacing w:line="276" w:lineRule="auto"/>
              <w:jc w:val="both"/>
              <w:rPr>
                <w:rFonts w:cs="Calibri"/>
                <w:b/>
              </w:rPr>
            </w:pPr>
            <w:r w:rsidRPr="000D2AD9">
              <w:rPr>
                <w:rFonts w:cs="Calibri"/>
                <w:b/>
              </w:rPr>
              <w:t xml:space="preserve">Bournemouth Airport - </w:t>
            </w:r>
            <w:r w:rsidRPr="000D2AD9">
              <w:rPr>
                <w:rFonts w:cs="Calibri"/>
              </w:rPr>
              <w:t xml:space="preserve">the Aviation Park is adjacent to </w:t>
            </w:r>
            <w:r w:rsidRPr="000D2AD9">
              <w:rPr>
                <w:rFonts w:cs="Calibri"/>
                <w:color w:val="252525"/>
              </w:rPr>
              <w:t>the Airport, comprising a mix of technology, industry and freight uses across 80 hectares (200 acres) of land and buildings allocated fo</w:t>
            </w:r>
            <w:r>
              <w:rPr>
                <w:rFonts w:cs="Calibri"/>
                <w:color w:val="252525"/>
              </w:rPr>
              <w:t>r employment use. It provides approximately 150,000 sq m</w:t>
            </w:r>
            <w:r w:rsidRPr="000D2AD9">
              <w:rPr>
                <w:rFonts w:cs="Calibri"/>
                <w:color w:val="252525"/>
              </w:rPr>
              <w:t xml:space="preserve"> of business space being developed by the owners of the airport. There are plans to develop a further 50,000 sq</w:t>
            </w:r>
            <w:r>
              <w:rPr>
                <w:rFonts w:cs="Calibri"/>
                <w:color w:val="252525"/>
              </w:rPr>
              <w:t xml:space="preserve"> m</w:t>
            </w:r>
            <w:r w:rsidRPr="000D2AD9">
              <w:rPr>
                <w:rFonts w:cs="Calibri"/>
                <w:color w:val="252525"/>
              </w:rPr>
              <w:t xml:space="preserve"> of employment space on this site (outline consent secured). </w:t>
            </w:r>
          </w:p>
          <w:p w:rsidR="00724272" w:rsidRDefault="00724272" w:rsidP="00D6202E">
            <w:pPr>
              <w:pStyle w:val="ListParagraph"/>
              <w:numPr>
                <w:ilvl w:val="0"/>
                <w:numId w:val="23"/>
              </w:numPr>
              <w:spacing w:line="276" w:lineRule="auto"/>
              <w:jc w:val="both"/>
              <w:rPr>
                <w:rFonts w:cs="Calibri"/>
                <w:b/>
              </w:rPr>
            </w:pPr>
            <w:r>
              <w:rPr>
                <w:rFonts w:cs="Calibri"/>
                <w:b/>
              </w:rPr>
              <w:t xml:space="preserve">Newquay Airport – </w:t>
            </w:r>
            <w:r w:rsidRPr="00724272">
              <w:rPr>
                <w:rFonts w:cs="Calibri"/>
              </w:rPr>
              <w:t>the Aerohub Business Park is a 90 acre serviced employment site which has designated Enterprise Zone status. It is located next to the Airport and serviced plots are currently being marketed to B1/B2/B8 occupiers, with a focus on knowledge-based businesses.</w:t>
            </w:r>
            <w:r>
              <w:rPr>
                <w:rFonts w:cs="Calibri"/>
                <w:b/>
              </w:rPr>
              <w:t xml:space="preserve"> </w:t>
            </w:r>
          </w:p>
          <w:p w:rsidR="00D6202E" w:rsidRPr="00D6202E" w:rsidRDefault="00D6202E" w:rsidP="00D6202E">
            <w:pPr>
              <w:pStyle w:val="ListParagraph"/>
              <w:numPr>
                <w:ilvl w:val="0"/>
                <w:numId w:val="23"/>
              </w:numPr>
              <w:spacing w:line="276" w:lineRule="auto"/>
              <w:jc w:val="both"/>
              <w:rPr>
                <w:rFonts w:cs="Calibri"/>
                <w:b/>
              </w:rPr>
            </w:pPr>
            <w:r>
              <w:rPr>
                <w:rFonts w:cs="Calibri"/>
                <w:b/>
              </w:rPr>
              <w:t xml:space="preserve">Leeds Bradford International Airport – </w:t>
            </w:r>
            <w:r>
              <w:rPr>
                <w:rFonts w:cs="Calibri"/>
              </w:rPr>
              <w:t xml:space="preserve">the airport is developing proposals for the release of 40ha of land adjacent to the Airport from the Green Belt to facilitate the delivery of a commercial hub. A case has been presented to Leeds City Council and the land has been provisionally allocated for employment uses. </w:t>
            </w:r>
          </w:p>
          <w:p w:rsidR="00724272" w:rsidRDefault="00D6202E" w:rsidP="00787904">
            <w:pPr>
              <w:pStyle w:val="Heading2"/>
              <w:numPr>
                <w:ilvl w:val="0"/>
                <w:numId w:val="0"/>
              </w:numPr>
              <w:outlineLvl w:val="1"/>
            </w:pPr>
            <w:r>
              <w:t>This provides further evidence of the need for a business park at Southend Airport to ensure that the overall airport ‘offer’</w:t>
            </w:r>
            <w:r w:rsidR="00311C69">
              <w:t>,</w:t>
            </w:r>
            <w:r>
              <w:t xml:space="preserve"> as a key economic asset for the SELEP, remains competitive in the context of the wider UK</w:t>
            </w:r>
            <w:r w:rsidR="00633E5F">
              <w:t xml:space="preserve"> regional airport offer</w:t>
            </w:r>
            <w:r w:rsidR="001A55C6">
              <w:t xml:space="preserve">. </w:t>
            </w:r>
          </w:p>
          <w:p w:rsidR="00650EEA" w:rsidRDefault="00664831" w:rsidP="00650EEA">
            <w:pPr>
              <w:pStyle w:val="ListParagraph"/>
              <w:numPr>
                <w:ilvl w:val="0"/>
                <w:numId w:val="20"/>
              </w:numPr>
              <w:autoSpaceDE w:val="0"/>
              <w:autoSpaceDN w:val="0"/>
              <w:adjustRightInd w:val="0"/>
              <w:jc w:val="both"/>
              <w:rPr>
                <w:rFonts w:cs="FuturaLtBT"/>
                <w:b/>
              </w:rPr>
            </w:pPr>
            <w:r>
              <w:rPr>
                <w:rFonts w:cs="FuturaLtBT"/>
                <w:b/>
              </w:rPr>
              <w:t>Addressing s</w:t>
            </w:r>
            <w:r w:rsidR="00650EEA" w:rsidRPr="00650EEA">
              <w:rPr>
                <w:rFonts w:cs="FuturaLtBT"/>
                <w:b/>
              </w:rPr>
              <w:t>ite abnormals and development viability issues</w:t>
            </w:r>
          </w:p>
          <w:p w:rsidR="00F54809" w:rsidRDefault="00F54809" w:rsidP="00F54809">
            <w:pPr>
              <w:autoSpaceDE w:val="0"/>
              <w:autoSpaceDN w:val="0"/>
              <w:adjustRightInd w:val="0"/>
              <w:jc w:val="both"/>
              <w:rPr>
                <w:rFonts w:cs="FuturaLtBT"/>
                <w:b/>
              </w:rPr>
            </w:pPr>
          </w:p>
          <w:p w:rsidR="00F54809" w:rsidRPr="00F54809" w:rsidRDefault="00F54809" w:rsidP="00F54809">
            <w:pPr>
              <w:autoSpaceDE w:val="0"/>
              <w:autoSpaceDN w:val="0"/>
              <w:adjustRightInd w:val="0"/>
              <w:jc w:val="both"/>
              <w:rPr>
                <w:rFonts w:cs="FuturaLtBT"/>
              </w:rPr>
            </w:pPr>
            <w:r w:rsidRPr="00F54809">
              <w:rPr>
                <w:rFonts w:cs="FuturaLtBT"/>
              </w:rPr>
              <w:t xml:space="preserve">As reported in the response to question 1.9, there are viability issues associated with the development of the Airport Business Park due to the site abnormals linked to the infrastructure works </w:t>
            </w:r>
            <w:r>
              <w:rPr>
                <w:rFonts w:cs="FuturaLtBT"/>
              </w:rPr>
              <w:t xml:space="preserve">and the relocation of the rugby club (the latter of which will be funded by the Council) </w:t>
            </w:r>
            <w:r w:rsidRPr="00F54809">
              <w:rPr>
                <w:rFonts w:cs="FuturaLtBT"/>
              </w:rPr>
              <w:t>required to facilitate delivery. This means that site development will not come forward without public sector funding support and the need for this is demonstrated through the phase 1 scheme development appraisal</w:t>
            </w:r>
            <w:r w:rsidR="00180D9A">
              <w:rPr>
                <w:rFonts w:cs="FuturaLtBT"/>
              </w:rPr>
              <w:t>s</w:t>
            </w:r>
            <w:r w:rsidRPr="00F54809">
              <w:rPr>
                <w:rFonts w:cs="FuturaLtBT"/>
              </w:rPr>
              <w:t xml:space="preserve"> </w:t>
            </w:r>
            <w:r w:rsidR="00180D9A">
              <w:rPr>
                <w:rFonts w:cs="FuturaLtBT"/>
              </w:rPr>
              <w:t xml:space="preserve">appended to this business case which demonstrate that there is a viable scheme assuming that the public sector funds the abnormal infrastructure costs (note – these appraisals do not include these costs and show a marginally viable position without them with a 15% return on cost to the developer which is considered a reasonable market level of return )this is often closer to 20%).  </w:t>
            </w:r>
            <w:r w:rsidR="00B07903">
              <w:rPr>
                <w:rFonts w:cs="FuturaLtBT"/>
              </w:rPr>
              <w:t xml:space="preserve">These demonstrate that if the public sector does not fund these infrastructure costs, the scheme is not viable and will not be delivered. </w:t>
            </w:r>
          </w:p>
          <w:p w:rsidR="007779C0" w:rsidRDefault="007779C0" w:rsidP="00717D45">
            <w:pPr>
              <w:ind w:left="67"/>
              <w:rPr>
                <w:i/>
              </w:rPr>
            </w:pPr>
          </w:p>
          <w:p w:rsidR="007779C0" w:rsidRDefault="007779C0" w:rsidP="00016562">
            <w:pPr>
              <w:rPr>
                <w:i/>
              </w:rPr>
            </w:pPr>
            <w:r>
              <w:rPr>
                <w:i/>
              </w:rPr>
              <w:t>Why now?</w:t>
            </w:r>
          </w:p>
          <w:p w:rsidR="00F54809" w:rsidRDefault="00F54809" w:rsidP="00717D45">
            <w:pPr>
              <w:ind w:left="67"/>
              <w:rPr>
                <w:i/>
              </w:rPr>
            </w:pPr>
          </w:p>
          <w:p w:rsidR="00F54809" w:rsidRDefault="00F54809" w:rsidP="00AC32D4">
            <w:pPr>
              <w:jc w:val="both"/>
            </w:pPr>
            <w:r>
              <w:t>Timing is of the essence in relation to this scheme and LGF funding is needed now for a number of reasons as below:</w:t>
            </w:r>
          </w:p>
          <w:p w:rsidR="00F54809" w:rsidRDefault="00F54809" w:rsidP="00AC32D4">
            <w:pPr>
              <w:jc w:val="both"/>
            </w:pPr>
          </w:p>
          <w:p w:rsidR="00F54809" w:rsidRDefault="00F54809" w:rsidP="00AC32D4">
            <w:pPr>
              <w:pStyle w:val="ListParagraph"/>
              <w:numPr>
                <w:ilvl w:val="0"/>
                <w:numId w:val="24"/>
              </w:numPr>
              <w:jc w:val="both"/>
            </w:pPr>
            <w:r>
              <w:t>The Council has already appointed HBDL as its development partner for this site and together they are both keen to progress site delivery as soon as possible</w:t>
            </w:r>
            <w:r w:rsidR="00016562">
              <w:t xml:space="preserve"> in accordance with the development agreement</w:t>
            </w:r>
          </w:p>
          <w:p w:rsidR="00E74834" w:rsidRDefault="00E74834" w:rsidP="00AC32D4">
            <w:pPr>
              <w:pStyle w:val="ListParagraph"/>
              <w:numPr>
                <w:ilvl w:val="0"/>
                <w:numId w:val="24"/>
              </w:numPr>
              <w:jc w:val="both"/>
            </w:pPr>
            <w:r>
              <w:t xml:space="preserve">The JAAP has been adopted and there is now a need to demonstrate an ability </w:t>
            </w:r>
            <w:r>
              <w:lastRenderedPageBreak/>
              <w:t>to deliver the ambitions of this</w:t>
            </w:r>
            <w:r w:rsidR="00633E5F">
              <w:t xml:space="preserve"> to meet stakeholder and public expectations</w:t>
            </w:r>
          </w:p>
          <w:p w:rsidR="00F54809" w:rsidRDefault="00F54809" w:rsidP="00AC32D4">
            <w:pPr>
              <w:pStyle w:val="ListParagraph"/>
              <w:numPr>
                <w:ilvl w:val="0"/>
                <w:numId w:val="24"/>
              </w:numPr>
              <w:jc w:val="both"/>
            </w:pPr>
            <w:r>
              <w:t xml:space="preserve">A significant level of </w:t>
            </w:r>
            <w:r w:rsidR="00E74834">
              <w:t>feasibility and masterplanning work</w:t>
            </w:r>
            <w:r w:rsidR="00633E5F">
              <w:t xml:space="preserve"> (funded ‘at risk’ by HBDL)</w:t>
            </w:r>
            <w:r w:rsidR="00E74834">
              <w:t xml:space="preserve"> has already been undertaken by the Council and HBDL and a planning decision is due imminently</w:t>
            </w:r>
          </w:p>
          <w:p w:rsidR="00F54809" w:rsidRDefault="00E74834" w:rsidP="00AC32D4">
            <w:pPr>
              <w:pStyle w:val="ListParagraph"/>
              <w:numPr>
                <w:ilvl w:val="0"/>
                <w:numId w:val="24"/>
              </w:numPr>
              <w:jc w:val="both"/>
            </w:pPr>
            <w:r>
              <w:t>Given the lack of available and suitable employment floorspace in the area, there is a risk that without the development of the business park, the SELEP economy fails to capitalise upon opportunities to both retain existing expanding businesses and to attract new inward investment</w:t>
            </w:r>
          </w:p>
          <w:p w:rsidR="00016562" w:rsidRDefault="00016562" w:rsidP="00AC32D4">
            <w:pPr>
              <w:pStyle w:val="ListParagraph"/>
              <w:numPr>
                <w:ilvl w:val="0"/>
                <w:numId w:val="24"/>
              </w:numPr>
              <w:jc w:val="both"/>
            </w:pPr>
            <w:r>
              <w:t>The Airport is progressing its investment plans and the scheme proposals fully support and align with this – there are benefits of ensuring that the two are progressed in parallel to maximise impact</w:t>
            </w:r>
            <w:r w:rsidR="00633E5F">
              <w:t xml:space="preserve"> upon the SELEP economy</w:t>
            </w:r>
          </w:p>
          <w:p w:rsidR="00016562" w:rsidRDefault="00016562" w:rsidP="00AC32D4">
            <w:pPr>
              <w:pStyle w:val="ListParagraph"/>
              <w:numPr>
                <w:ilvl w:val="0"/>
                <w:numId w:val="24"/>
              </w:numPr>
              <w:jc w:val="both"/>
            </w:pPr>
            <w:r>
              <w:t xml:space="preserve">There are a number of known occupier interests and enquiries for floorspace in this area at present which will be unlikely to be met without the development of this scheme. </w:t>
            </w:r>
          </w:p>
          <w:p w:rsidR="00F54809" w:rsidRDefault="00F54809" w:rsidP="00F54809"/>
          <w:p w:rsidR="00F54809" w:rsidRPr="00650EEA" w:rsidRDefault="00F54809" w:rsidP="00F54809">
            <w:pPr>
              <w:autoSpaceDE w:val="0"/>
              <w:autoSpaceDN w:val="0"/>
              <w:adjustRightInd w:val="0"/>
              <w:jc w:val="both"/>
              <w:rPr>
                <w:rFonts w:cs="FuturaLtBT"/>
                <w:b/>
              </w:rPr>
            </w:pPr>
            <w:r w:rsidRPr="00650EEA">
              <w:rPr>
                <w:rFonts w:cs="FuturaLtBT"/>
                <w:b/>
              </w:rPr>
              <w:t>Impact of not progressing the scheme</w:t>
            </w:r>
          </w:p>
          <w:p w:rsidR="00F54809" w:rsidRPr="0083237E" w:rsidRDefault="00F54809" w:rsidP="0083237E">
            <w:pPr>
              <w:ind w:left="67"/>
              <w:jc w:val="both"/>
              <w:rPr>
                <w:i/>
              </w:rPr>
            </w:pPr>
          </w:p>
          <w:p w:rsidR="00CF62A6" w:rsidRPr="008122B6" w:rsidRDefault="00CF62A6" w:rsidP="0083237E">
            <w:pPr>
              <w:jc w:val="both"/>
            </w:pPr>
            <w:r w:rsidRPr="0083237E">
              <w:t xml:space="preserve">In the absence of an </w:t>
            </w:r>
            <w:r w:rsidR="005447A7" w:rsidRPr="0083237E">
              <w:t xml:space="preserve">LGF award of £3.2m, this phase 1 scheme will not be delivered and in the absence of any further external public sector funding from the LEP or elsewhere in the future this will be likely to result in the site remaining as a greenfield site for the foreseeable future. </w:t>
            </w:r>
            <w:r w:rsidR="008122B6">
              <w:t>T</w:t>
            </w:r>
            <w:r w:rsidR="005447A7" w:rsidRPr="0083237E">
              <w:t>he proposals for an Airport Business Park will not be delivered and this would represent a major missed opportunity for the Rochford and Southend Local Authorities and the w</w:t>
            </w:r>
            <w:r w:rsidR="0083237E" w:rsidRPr="0083237E">
              <w:t>ider SELEP economy, particularly given the investment that has already gone into progressing the scheme to this stage.</w:t>
            </w:r>
            <w:r w:rsidR="005447A7" w:rsidRPr="0083237E">
              <w:t xml:space="preserve"> The current lack of employment land/premises will continue to be an issue and over time this could have a detrimental impact upon </w:t>
            </w:r>
            <w:r w:rsidR="0083237E" w:rsidRPr="0083237E">
              <w:t xml:space="preserve">the competitiveness of the sub-regional economy as existing growth businesses are forced to leave in pursuit of suitable premises and limited inward investment opportunities are realised. The potential of the Airport as a regional economic asset would not be met and the Council would not be able to capitalise upon the unique opportunity it has to develop a high quality business park on a Council owned site with an experienced and willing development partner on board. </w:t>
            </w:r>
          </w:p>
        </w:tc>
      </w:tr>
      <w:tr w:rsidR="00717D45">
        <w:tc>
          <w:tcPr>
            <w:tcW w:w="2694" w:type="dxa"/>
            <w:shd w:val="clear" w:color="auto" w:fill="4BACC6" w:themeFill="accent5"/>
          </w:tcPr>
          <w:p w:rsidR="00717D45" w:rsidRDefault="00717D45" w:rsidP="00B34F20">
            <w:pPr>
              <w:pStyle w:val="ListParagraph"/>
              <w:numPr>
                <w:ilvl w:val="1"/>
                <w:numId w:val="1"/>
              </w:numPr>
              <w:ind w:left="601" w:hanging="601"/>
              <w:rPr>
                <w:b/>
                <w:color w:val="FFFFFF" w:themeColor="background1"/>
              </w:rPr>
            </w:pPr>
            <w:r w:rsidRPr="00685C6D">
              <w:rPr>
                <w:b/>
                <w:color w:val="FFFFFF" w:themeColor="background1"/>
              </w:rPr>
              <w:lastRenderedPageBreak/>
              <w:t xml:space="preserve">Description of project aims and </w:t>
            </w:r>
            <w:r>
              <w:rPr>
                <w:b/>
                <w:color w:val="FFFFFF" w:themeColor="background1"/>
              </w:rPr>
              <w:t xml:space="preserve">SMART </w:t>
            </w:r>
            <w:r w:rsidRPr="00685C6D">
              <w:rPr>
                <w:b/>
                <w:color w:val="FFFFFF" w:themeColor="background1"/>
              </w:rPr>
              <w:t>objectives</w:t>
            </w:r>
          </w:p>
          <w:p w:rsidR="00717D45" w:rsidRPr="00685C6D" w:rsidRDefault="00717D45" w:rsidP="00B34F20">
            <w:pPr>
              <w:pStyle w:val="ListParagraph"/>
              <w:ind w:left="601" w:hanging="601"/>
              <w:rPr>
                <w:b/>
                <w:color w:val="FFFFFF" w:themeColor="background1"/>
              </w:rPr>
            </w:pPr>
          </w:p>
        </w:tc>
        <w:tc>
          <w:tcPr>
            <w:tcW w:w="7796" w:type="dxa"/>
          </w:tcPr>
          <w:p w:rsidR="002F3B8C" w:rsidRDefault="002F3B8C" w:rsidP="00717D45">
            <w:pPr>
              <w:ind w:left="67"/>
              <w:rPr>
                <w:i/>
              </w:rPr>
            </w:pPr>
            <w:r>
              <w:rPr>
                <w:i/>
              </w:rPr>
              <w:t>Please outline primary aims and objectives</w:t>
            </w:r>
            <w:r w:rsidR="00BB018D">
              <w:rPr>
                <w:i/>
              </w:rPr>
              <w:t>.</w:t>
            </w:r>
            <w:r>
              <w:rPr>
                <w:i/>
              </w:rPr>
              <w:t xml:space="preserve"> </w:t>
            </w:r>
            <w:r w:rsidR="00BB018D">
              <w:rPr>
                <w:i/>
              </w:rPr>
              <w:t>Please present the SMART (specific, measurable, achievable, realistic and time- bound) benefits and outcomes on the local economy that will arise following delivery of the scheme in terms of numbers of jobs, new homes, GVA).</w:t>
            </w:r>
          </w:p>
          <w:p w:rsidR="00BB018D" w:rsidRDefault="00BB018D" w:rsidP="00717D45">
            <w:pPr>
              <w:ind w:left="67"/>
              <w:rPr>
                <w:i/>
              </w:rPr>
            </w:pPr>
          </w:p>
          <w:p w:rsidR="00BB018D" w:rsidRDefault="00512B41" w:rsidP="008122B6">
            <w:pPr>
              <w:ind w:left="67"/>
              <w:jc w:val="both"/>
            </w:pPr>
            <w:r>
              <w:t xml:space="preserve">The aim of this project </w:t>
            </w:r>
            <w:r w:rsidR="00311C69">
              <w:t xml:space="preserve">is </w:t>
            </w:r>
            <w:r>
              <w:t xml:space="preserve">to deliver the necessary infrastructure works to </w:t>
            </w:r>
            <w:r w:rsidR="00BB018D">
              <w:t>facilitate a phase 1 commercial development on allocated employment land adjacent to London Southend Airport</w:t>
            </w:r>
            <w:r>
              <w:t>,</w:t>
            </w:r>
            <w:r w:rsidR="00BB018D">
              <w:t xml:space="preserve"> to provide high value employment floorspace in this key strategic location, linked to local and national sector growth opportunities. </w:t>
            </w:r>
          </w:p>
          <w:p w:rsidR="00BB018D" w:rsidRDefault="00BB018D" w:rsidP="008122B6">
            <w:pPr>
              <w:ind w:left="67"/>
              <w:jc w:val="both"/>
            </w:pPr>
          </w:p>
          <w:p w:rsidR="00BB018D" w:rsidRDefault="00BB018D" w:rsidP="008122B6">
            <w:pPr>
              <w:ind w:left="67"/>
              <w:jc w:val="both"/>
            </w:pPr>
            <w:r>
              <w:t>SMART objectives are presented below:</w:t>
            </w:r>
          </w:p>
          <w:p w:rsidR="00BB018D" w:rsidRDefault="00BB018D" w:rsidP="008122B6">
            <w:pPr>
              <w:ind w:left="67"/>
              <w:jc w:val="both"/>
            </w:pPr>
          </w:p>
          <w:p w:rsidR="00BB018D" w:rsidRDefault="00BB018D" w:rsidP="008122B6">
            <w:pPr>
              <w:pStyle w:val="ListParagraph"/>
              <w:numPr>
                <w:ilvl w:val="0"/>
                <w:numId w:val="15"/>
              </w:numPr>
              <w:jc w:val="both"/>
            </w:pPr>
            <w:r>
              <w:t>To deliver a new road access and spine road, utility/services infrastructure and a new facility for</w:t>
            </w:r>
            <w:r w:rsidR="00512B41">
              <w:t xml:space="preserve"> the existing rugby club by March 2017</w:t>
            </w:r>
          </w:p>
          <w:p w:rsidR="00F67EF1" w:rsidRDefault="00EA4DEF" w:rsidP="008122B6">
            <w:pPr>
              <w:pStyle w:val="ListParagraph"/>
              <w:numPr>
                <w:ilvl w:val="0"/>
                <w:numId w:val="15"/>
              </w:numPr>
              <w:jc w:val="both"/>
            </w:pPr>
            <w:r>
              <w:t>To directly support 12</w:t>
            </w:r>
            <w:r w:rsidR="008122B6">
              <w:t>0</w:t>
            </w:r>
            <w:r w:rsidR="00F67EF1">
              <w:t xml:space="preserve"> FTE </w:t>
            </w:r>
            <w:r w:rsidR="008122B6">
              <w:t xml:space="preserve">gross </w:t>
            </w:r>
            <w:r w:rsidR="00F67EF1">
              <w:t>construc</w:t>
            </w:r>
            <w:r w:rsidR="00512B41">
              <w:t>tion jobs by March 2017 relating to the infrastructure works</w:t>
            </w:r>
          </w:p>
          <w:p w:rsidR="00BB018D" w:rsidRDefault="0083237E" w:rsidP="008122B6">
            <w:pPr>
              <w:pStyle w:val="ListParagraph"/>
              <w:numPr>
                <w:ilvl w:val="0"/>
                <w:numId w:val="15"/>
              </w:numPr>
              <w:jc w:val="both"/>
            </w:pPr>
            <w:r>
              <w:t xml:space="preserve">To unlock the potential for </w:t>
            </w:r>
            <w:r w:rsidR="00AC32D4">
              <w:t>22,000</w:t>
            </w:r>
            <w:r>
              <w:t xml:space="preserve"> sqm </w:t>
            </w:r>
            <w:r w:rsidR="00BB018D">
              <w:t>of n</w:t>
            </w:r>
            <w:r>
              <w:t>ew commercial floorspace by 2020</w:t>
            </w:r>
            <w:r w:rsidR="00BB018D">
              <w:t xml:space="preserve"> as part of the phase 1 scheme</w:t>
            </w:r>
          </w:p>
          <w:p w:rsidR="00BB018D" w:rsidRDefault="00BB018D" w:rsidP="008122B6">
            <w:pPr>
              <w:pStyle w:val="ListParagraph"/>
              <w:numPr>
                <w:ilvl w:val="0"/>
                <w:numId w:val="15"/>
              </w:numPr>
              <w:jc w:val="both"/>
            </w:pPr>
            <w:r>
              <w:t>T</w:t>
            </w:r>
            <w:r w:rsidR="008122B6">
              <w:t>o support the delivery</w:t>
            </w:r>
            <w:r w:rsidR="0083237E">
              <w:t xml:space="preserve"> of </w:t>
            </w:r>
            <w:r w:rsidR="00AC32D4">
              <w:t>1,</w:t>
            </w:r>
            <w:r w:rsidR="00EA4DEF">
              <w:t>080</w:t>
            </w:r>
            <w:r w:rsidR="00AC32D4">
              <w:t xml:space="preserve"> new</w:t>
            </w:r>
            <w:r w:rsidR="00512B41">
              <w:t xml:space="preserve"> </w:t>
            </w:r>
            <w:r w:rsidR="00AC32D4">
              <w:t>gross jobs by 2021</w:t>
            </w:r>
            <w:r w:rsidR="00512B41">
              <w:t xml:space="preserve"> </w:t>
            </w:r>
            <w:r w:rsidR="00AC32D4">
              <w:t>as part of the phase 1 scheme</w:t>
            </w:r>
          </w:p>
          <w:p w:rsidR="00BB018D" w:rsidRDefault="00BB018D" w:rsidP="00BB018D">
            <w:pPr>
              <w:pStyle w:val="ListParagraph"/>
              <w:ind w:left="427"/>
            </w:pPr>
          </w:p>
          <w:p w:rsidR="00717D45" w:rsidRDefault="00717D45" w:rsidP="00717D45">
            <w:pPr>
              <w:ind w:left="67"/>
              <w:rPr>
                <w:b/>
              </w:rPr>
            </w:pPr>
          </w:p>
        </w:tc>
      </w:tr>
      <w:tr w:rsidR="004C543F">
        <w:trPr>
          <w:trHeight w:val="1151"/>
        </w:trPr>
        <w:tc>
          <w:tcPr>
            <w:tcW w:w="2694" w:type="dxa"/>
            <w:shd w:val="clear" w:color="auto" w:fill="4BACC6" w:themeFill="accent5"/>
          </w:tcPr>
          <w:p w:rsidR="004C543F" w:rsidRPr="00685C6D" w:rsidRDefault="00770FFB" w:rsidP="00B34F20">
            <w:pPr>
              <w:pStyle w:val="ListParagraph"/>
              <w:numPr>
                <w:ilvl w:val="1"/>
                <w:numId w:val="1"/>
              </w:numPr>
              <w:ind w:left="601" w:hanging="601"/>
              <w:rPr>
                <w:b/>
                <w:color w:val="FFFFFF" w:themeColor="background1"/>
              </w:rPr>
            </w:pPr>
            <w:r w:rsidRPr="00685C6D">
              <w:rPr>
                <w:b/>
                <w:color w:val="FFFFFF" w:themeColor="background1"/>
              </w:rPr>
              <w:lastRenderedPageBreak/>
              <w:t>Strategic fit</w:t>
            </w:r>
            <w:r w:rsidR="00717D45">
              <w:rPr>
                <w:b/>
                <w:color w:val="FFFFFF" w:themeColor="background1"/>
              </w:rPr>
              <w:t xml:space="preserve"> (for example, with the SEP)</w:t>
            </w:r>
          </w:p>
        </w:tc>
        <w:tc>
          <w:tcPr>
            <w:tcW w:w="7796" w:type="dxa"/>
          </w:tcPr>
          <w:p w:rsidR="00B41019" w:rsidRDefault="002F3B8C" w:rsidP="00717D45">
            <w:pPr>
              <w:pStyle w:val="NoSpacing"/>
              <w:ind w:left="67"/>
              <w:rPr>
                <w:i/>
              </w:rPr>
            </w:pPr>
            <w:r>
              <w:rPr>
                <w:i/>
              </w:rPr>
              <w:t>Please detail the SELEP and local objectives/strategies/work programmes/ services which the investment will support</w:t>
            </w:r>
          </w:p>
          <w:p w:rsidR="00F67EF1" w:rsidRDefault="00F67EF1" w:rsidP="001E1025">
            <w:pPr>
              <w:pStyle w:val="NoSpacing"/>
              <w:ind w:left="67"/>
              <w:jc w:val="both"/>
              <w:rPr>
                <w:i/>
              </w:rPr>
            </w:pPr>
          </w:p>
          <w:p w:rsidR="00F67EF1" w:rsidRDefault="00F67EF1" w:rsidP="001E1025">
            <w:pPr>
              <w:pStyle w:val="NoSpacing"/>
              <w:jc w:val="both"/>
            </w:pPr>
            <w:r>
              <w:t>The project fully aligns with and supports a number of key policy and strategy objectives at both SELEP and local authority spatial scales, as below:</w:t>
            </w:r>
          </w:p>
          <w:p w:rsidR="00F67EF1" w:rsidRDefault="00F67EF1" w:rsidP="00F67EF1">
            <w:pPr>
              <w:pStyle w:val="NoSpacing"/>
              <w:ind w:left="67"/>
            </w:pPr>
          </w:p>
          <w:p w:rsidR="00F67EF1" w:rsidRPr="00422CD7" w:rsidRDefault="00F67EF1" w:rsidP="00302766">
            <w:pPr>
              <w:pStyle w:val="NoSpacing"/>
              <w:jc w:val="both"/>
              <w:rPr>
                <w:b/>
                <w:i/>
              </w:rPr>
            </w:pPr>
            <w:r w:rsidRPr="00422CD7">
              <w:rPr>
                <w:b/>
                <w:i/>
              </w:rPr>
              <w:t>SELEP SEP</w:t>
            </w:r>
            <w:r w:rsidR="00BE5485" w:rsidRPr="00422CD7">
              <w:rPr>
                <w:b/>
                <w:i/>
              </w:rPr>
              <w:t xml:space="preserve"> and the Growth Deal</w:t>
            </w:r>
          </w:p>
          <w:p w:rsidR="00BE5485" w:rsidRPr="00422CD7" w:rsidRDefault="00BE5485" w:rsidP="00422CD7">
            <w:pPr>
              <w:pStyle w:val="NoSpacing"/>
              <w:ind w:left="67"/>
              <w:jc w:val="both"/>
              <w:rPr>
                <w:b/>
                <w:i/>
              </w:rPr>
            </w:pPr>
          </w:p>
          <w:p w:rsidR="001E1025" w:rsidRPr="001E1025" w:rsidRDefault="00F8329C" w:rsidP="00F6134D">
            <w:pPr>
              <w:autoSpaceDE w:val="0"/>
              <w:autoSpaceDN w:val="0"/>
              <w:adjustRightInd w:val="0"/>
              <w:jc w:val="both"/>
              <w:rPr>
                <w:rFonts w:cs="CenturyGothic"/>
              </w:rPr>
            </w:pPr>
            <w:r w:rsidRPr="00F6134D">
              <w:rPr>
                <w:rFonts w:ascii="Calibri" w:hAnsi="Calibri"/>
              </w:rPr>
              <w:t xml:space="preserve">The LEP’s Strategic Economic Plan </w:t>
            </w:r>
            <w:r w:rsidR="008122B6">
              <w:rPr>
                <w:rFonts w:ascii="Calibri" w:hAnsi="Calibri"/>
              </w:rPr>
              <w:t xml:space="preserve">(SEP) </w:t>
            </w:r>
            <w:r w:rsidRPr="00F6134D">
              <w:rPr>
                <w:rFonts w:ascii="Calibri" w:hAnsi="Calibri"/>
              </w:rPr>
              <w:t xml:space="preserve">(2014) identifies an ambition to create </w:t>
            </w:r>
            <w:r w:rsidRPr="00F6134D">
              <w:rPr>
                <w:rFonts w:ascii="Calibri" w:hAnsi="Calibri" w:cs="CenturyGothic"/>
              </w:rPr>
              <w:t xml:space="preserve">200,000 new </w:t>
            </w:r>
            <w:r w:rsidRPr="001E1025">
              <w:rPr>
                <w:rFonts w:cs="CenturyGothic"/>
              </w:rPr>
              <w:t>sustainable private sector jobs by 2021 and to lever</w:t>
            </w:r>
            <w:r w:rsidR="00B00826" w:rsidRPr="001E1025">
              <w:rPr>
                <w:rFonts w:cs="CenturyGothic"/>
              </w:rPr>
              <w:t xml:space="preserve"> </w:t>
            </w:r>
            <w:r w:rsidRPr="001E1025">
              <w:rPr>
                <w:rFonts w:cs="CenturyGothic"/>
              </w:rPr>
              <w:t>investment tot</w:t>
            </w:r>
            <w:r w:rsidR="00B00826" w:rsidRPr="001E1025">
              <w:rPr>
                <w:rFonts w:cs="CenturyGothic"/>
              </w:rPr>
              <w:t xml:space="preserve">alling £10 billion, to accelerate growth, jobs and </w:t>
            </w:r>
            <w:r w:rsidRPr="001E1025">
              <w:rPr>
                <w:rFonts w:cs="CenturyGothic"/>
              </w:rPr>
              <w:t>homebuilding.</w:t>
            </w:r>
            <w:r w:rsidR="00B00826" w:rsidRPr="001E1025">
              <w:rPr>
                <w:rFonts w:cs="CenturyGothic"/>
              </w:rPr>
              <w:t xml:space="preserve"> </w:t>
            </w:r>
            <w:r w:rsidR="001E1025" w:rsidRPr="001E1025">
              <w:rPr>
                <w:rFonts w:cs="CenturyGothic"/>
              </w:rPr>
              <w:t>It focuses on 4 key areas as below:</w:t>
            </w:r>
          </w:p>
          <w:p w:rsidR="001E1025" w:rsidRPr="001E1025" w:rsidRDefault="001E1025" w:rsidP="001E1025">
            <w:pPr>
              <w:autoSpaceDE w:val="0"/>
              <w:autoSpaceDN w:val="0"/>
              <w:adjustRightInd w:val="0"/>
              <w:spacing w:after="61"/>
              <w:rPr>
                <w:rFonts w:cs="Arial"/>
                <w:color w:val="000000"/>
              </w:rPr>
            </w:pPr>
          </w:p>
          <w:p w:rsidR="001E1025" w:rsidRPr="001E1025" w:rsidRDefault="001E1025" w:rsidP="001E1025">
            <w:pPr>
              <w:pStyle w:val="ListParagraph"/>
              <w:numPr>
                <w:ilvl w:val="0"/>
                <w:numId w:val="19"/>
              </w:numPr>
              <w:autoSpaceDE w:val="0"/>
              <w:autoSpaceDN w:val="0"/>
              <w:adjustRightInd w:val="0"/>
              <w:spacing w:after="61"/>
              <w:rPr>
                <w:rFonts w:cs="Arial"/>
                <w:color w:val="000000"/>
              </w:rPr>
            </w:pPr>
            <w:r w:rsidRPr="001E1025">
              <w:rPr>
                <w:rFonts w:cs="Arial"/>
                <w:color w:val="000000"/>
              </w:rPr>
              <w:t xml:space="preserve">Enhancing Transport Connectivity </w:t>
            </w:r>
          </w:p>
          <w:p w:rsidR="001E1025" w:rsidRPr="001E1025" w:rsidRDefault="001E1025" w:rsidP="001E1025">
            <w:pPr>
              <w:pStyle w:val="ListParagraph"/>
              <w:numPr>
                <w:ilvl w:val="0"/>
                <w:numId w:val="19"/>
              </w:numPr>
              <w:autoSpaceDE w:val="0"/>
              <w:autoSpaceDN w:val="0"/>
              <w:adjustRightInd w:val="0"/>
              <w:spacing w:after="61"/>
              <w:rPr>
                <w:rFonts w:cs="Arial"/>
                <w:color w:val="000000"/>
              </w:rPr>
            </w:pPr>
            <w:r w:rsidRPr="001E1025">
              <w:rPr>
                <w:rFonts w:cs="Arial"/>
                <w:color w:val="000000"/>
              </w:rPr>
              <w:t xml:space="preserve">Increasing Business Support and Productivity </w:t>
            </w:r>
          </w:p>
          <w:p w:rsidR="001E1025" w:rsidRPr="001E1025" w:rsidRDefault="001E1025" w:rsidP="001E1025">
            <w:pPr>
              <w:pStyle w:val="ListParagraph"/>
              <w:numPr>
                <w:ilvl w:val="0"/>
                <w:numId w:val="19"/>
              </w:numPr>
              <w:autoSpaceDE w:val="0"/>
              <w:autoSpaceDN w:val="0"/>
              <w:adjustRightInd w:val="0"/>
              <w:spacing w:after="61"/>
              <w:rPr>
                <w:rFonts w:cs="Arial"/>
                <w:color w:val="000000"/>
              </w:rPr>
            </w:pPr>
            <w:r w:rsidRPr="001E1025">
              <w:rPr>
                <w:rFonts w:cs="Arial"/>
                <w:color w:val="000000"/>
              </w:rPr>
              <w:t xml:space="preserve">Raising Local Skill Levels </w:t>
            </w:r>
          </w:p>
          <w:p w:rsidR="001E1025" w:rsidRPr="001E1025" w:rsidRDefault="001E1025" w:rsidP="001E1025">
            <w:pPr>
              <w:pStyle w:val="ListParagraph"/>
              <w:numPr>
                <w:ilvl w:val="0"/>
                <w:numId w:val="19"/>
              </w:numPr>
              <w:autoSpaceDE w:val="0"/>
              <w:autoSpaceDN w:val="0"/>
              <w:adjustRightInd w:val="0"/>
              <w:spacing w:after="61"/>
              <w:rPr>
                <w:rFonts w:cs="Arial"/>
                <w:color w:val="000000"/>
              </w:rPr>
            </w:pPr>
            <w:r w:rsidRPr="001E1025">
              <w:rPr>
                <w:rFonts w:cs="Arial"/>
                <w:color w:val="000000"/>
              </w:rPr>
              <w:t xml:space="preserve">Supporting Housing and Development </w:t>
            </w:r>
          </w:p>
          <w:p w:rsidR="001E1025" w:rsidRPr="001E1025" w:rsidRDefault="001E1025" w:rsidP="001E1025">
            <w:pPr>
              <w:pStyle w:val="ListParagraph"/>
              <w:autoSpaceDE w:val="0"/>
              <w:autoSpaceDN w:val="0"/>
              <w:adjustRightInd w:val="0"/>
              <w:spacing w:after="61"/>
              <w:ind w:left="360"/>
              <w:rPr>
                <w:rFonts w:cs="Arial"/>
                <w:color w:val="000000"/>
              </w:rPr>
            </w:pPr>
          </w:p>
          <w:p w:rsidR="000E6E9B" w:rsidRPr="00F6134D" w:rsidRDefault="00B00826" w:rsidP="00F6134D">
            <w:pPr>
              <w:autoSpaceDE w:val="0"/>
              <w:autoSpaceDN w:val="0"/>
              <w:adjustRightInd w:val="0"/>
              <w:jc w:val="both"/>
              <w:rPr>
                <w:rFonts w:ascii="Calibri" w:hAnsi="Calibri" w:cs="CenturyGothic"/>
              </w:rPr>
            </w:pPr>
            <w:r w:rsidRPr="001E1025">
              <w:rPr>
                <w:rFonts w:cs="CenturyGothic"/>
              </w:rPr>
              <w:t>The SEP identifies a number of key economic strengths which it is seeking to build upon to maximise the impacts of its investments. It identifies a focus on innovation assets as part of this and</w:t>
            </w:r>
            <w:r w:rsidRPr="00F6134D">
              <w:rPr>
                <w:rFonts w:ascii="Calibri" w:hAnsi="Calibri" w:cs="CenturyGothic"/>
              </w:rPr>
              <w:t xml:space="preserve"> sets out a number of key sectors which include the following of relevance to the proposals:</w:t>
            </w:r>
          </w:p>
          <w:p w:rsidR="00B00826" w:rsidRPr="00F6134D" w:rsidRDefault="00B00826" w:rsidP="00F6134D">
            <w:pPr>
              <w:autoSpaceDE w:val="0"/>
              <w:autoSpaceDN w:val="0"/>
              <w:adjustRightInd w:val="0"/>
              <w:jc w:val="both"/>
              <w:rPr>
                <w:rFonts w:ascii="Calibri" w:hAnsi="Calibri" w:cs="CenturyGothic"/>
              </w:rPr>
            </w:pPr>
          </w:p>
          <w:p w:rsidR="00B00826" w:rsidRPr="00F6134D" w:rsidRDefault="00B00826" w:rsidP="00F6134D">
            <w:pPr>
              <w:pStyle w:val="ListParagraph"/>
              <w:numPr>
                <w:ilvl w:val="0"/>
                <w:numId w:val="18"/>
              </w:numPr>
              <w:autoSpaceDE w:val="0"/>
              <w:autoSpaceDN w:val="0"/>
              <w:adjustRightInd w:val="0"/>
              <w:jc w:val="both"/>
              <w:rPr>
                <w:rFonts w:ascii="Calibri" w:hAnsi="Calibri" w:cs="CenturyGothic"/>
              </w:rPr>
            </w:pPr>
            <w:r w:rsidRPr="00F6134D">
              <w:rPr>
                <w:rFonts w:ascii="Calibri" w:hAnsi="Calibri" w:cs="CenturyGothic"/>
              </w:rPr>
              <w:t>Transport/logistics – reference is made to the growth potential of Southend Airport</w:t>
            </w:r>
          </w:p>
          <w:p w:rsidR="00B00826" w:rsidRPr="00F6134D" w:rsidRDefault="00B00826" w:rsidP="00F6134D">
            <w:pPr>
              <w:pStyle w:val="ListParagraph"/>
              <w:numPr>
                <w:ilvl w:val="0"/>
                <w:numId w:val="18"/>
              </w:numPr>
              <w:autoSpaceDE w:val="0"/>
              <w:autoSpaceDN w:val="0"/>
              <w:adjustRightInd w:val="0"/>
              <w:jc w:val="both"/>
              <w:rPr>
                <w:rFonts w:ascii="Calibri" w:hAnsi="Calibri" w:cs="CenturyGothic"/>
              </w:rPr>
            </w:pPr>
            <w:r w:rsidRPr="00F6134D">
              <w:rPr>
                <w:rFonts w:ascii="Calibri" w:hAnsi="Calibri" w:cs="CenturyGothic"/>
              </w:rPr>
              <w:t>Advanced manufacturing</w:t>
            </w:r>
          </w:p>
          <w:p w:rsidR="00F8329C" w:rsidRPr="00F6134D" w:rsidRDefault="00B00826" w:rsidP="00F6134D">
            <w:pPr>
              <w:pStyle w:val="ListParagraph"/>
              <w:numPr>
                <w:ilvl w:val="0"/>
                <w:numId w:val="18"/>
              </w:numPr>
              <w:autoSpaceDE w:val="0"/>
              <w:autoSpaceDN w:val="0"/>
              <w:adjustRightInd w:val="0"/>
              <w:jc w:val="both"/>
              <w:rPr>
                <w:rFonts w:ascii="Calibri" w:hAnsi="Calibri"/>
              </w:rPr>
            </w:pPr>
            <w:r w:rsidRPr="00F6134D">
              <w:rPr>
                <w:rFonts w:ascii="Calibri" w:hAnsi="Calibri"/>
              </w:rPr>
              <w:t>Life sciences and healthcare – references is made to the Anglia Ruskin MedTech Centres, one of which is proposed on the business park site</w:t>
            </w:r>
          </w:p>
          <w:p w:rsidR="00B00826" w:rsidRPr="00F6134D" w:rsidRDefault="00B00826" w:rsidP="00F6134D">
            <w:pPr>
              <w:pStyle w:val="NoSpacing"/>
              <w:jc w:val="both"/>
              <w:rPr>
                <w:rFonts w:ascii="Calibri" w:hAnsi="Calibri"/>
                <w:b/>
              </w:rPr>
            </w:pPr>
          </w:p>
          <w:p w:rsidR="00E26BE8" w:rsidRPr="00F6134D" w:rsidRDefault="008313EB" w:rsidP="00F6134D">
            <w:pPr>
              <w:autoSpaceDE w:val="0"/>
              <w:autoSpaceDN w:val="0"/>
              <w:adjustRightInd w:val="0"/>
              <w:jc w:val="both"/>
              <w:rPr>
                <w:rFonts w:ascii="Calibri" w:hAnsi="Calibri" w:cs="CenturyGothic"/>
              </w:rPr>
            </w:pPr>
            <w:r w:rsidRPr="00F6134D">
              <w:rPr>
                <w:rFonts w:ascii="Calibri" w:hAnsi="Calibri"/>
              </w:rPr>
              <w:t xml:space="preserve">The SEP identifies the productivity challenge across the LEP area, whereby the growth in output in the SELEP area has lagged behind other parts </w:t>
            </w:r>
            <w:r w:rsidR="00E26BE8" w:rsidRPr="00F6134D">
              <w:rPr>
                <w:rFonts w:ascii="Calibri" w:hAnsi="Calibri"/>
              </w:rPr>
              <w:t xml:space="preserve">of the South East and the output gap has widened. The SEP is seeking to </w:t>
            </w:r>
            <w:r w:rsidR="00E26BE8" w:rsidRPr="00F6134D">
              <w:rPr>
                <w:rFonts w:ascii="Calibri" w:hAnsi="Calibri" w:cs="CenturyGothic"/>
              </w:rPr>
              <w:t>concentrate</w:t>
            </w:r>
            <w:r w:rsidR="00F6134D" w:rsidRPr="00F6134D">
              <w:rPr>
                <w:rFonts w:ascii="Calibri" w:hAnsi="Calibri" w:cs="CenturyGothic"/>
              </w:rPr>
              <w:t xml:space="preserve"> </w:t>
            </w:r>
            <w:r w:rsidR="00E26BE8" w:rsidRPr="00F6134D">
              <w:rPr>
                <w:rFonts w:ascii="Calibri" w:hAnsi="Calibri" w:cs="CenturyGothic"/>
              </w:rPr>
              <w:t>resources</w:t>
            </w:r>
            <w:r w:rsidR="00F6134D" w:rsidRPr="00F6134D">
              <w:rPr>
                <w:rFonts w:ascii="Calibri" w:hAnsi="Calibri" w:cs="CenturyGothic"/>
              </w:rPr>
              <w:t xml:space="preserve"> on supporting growth in higher </w:t>
            </w:r>
            <w:r w:rsidR="00E26BE8" w:rsidRPr="00F6134D">
              <w:rPr>
                <w:rFonts w:ascii="Calibri" w:hAnsi="Calibri" w:cs="CenturyGothic"/>
              </w:rPr>
              <w:t>value added sectors</w:t>
            </w:r>
            <w:r w:rsidR="00F6134D" w:rsidRPr="00F6134D">
              <w:rPr>
                <w:rFonts w:ascii="Calibri" w:hAnsi="Calibri" w:cs="CenturyGothic"/>
              </w:rPr>
              <w:t>. It suggests that t</w:t>
            </w:r>
            <w:r w:rsidR="00E26BE8" w:rsidRPr="00F6134D">
              <w:rPr>
                <w:rFonts w:ascii="Calibri" w:hAnsi="Calibri" w:cs="CenturyGothic"/>
              </w:rPr>
              <w:t>he current</w:t>
            </w:r>
            <w:r w:rsidR="00F6134D" w:rsidRPr="00F6134D">
              <w:rPr>
                <w:rFonts w:ascii="Calibri" w:hAnsi="Calibri" w:cs="CenturyGothic"/>
              </w:rPr>
              <w:t xml:space="preserve"> make-up of the SE LEP business </w:t>
            </w:r>
            <w:r w:rsidR="00E26BE8" w:rsidRPr="00F6134D">
              <w:rPr>
                <w:rFonts w:ascii="Calibri" w:hAnsi="Calibri" w:cs="CenturyGothic"/>
              </w:rPr>
              <w:t xml:space="preserve">base </w:t>
            </w:r>
            <w:r w:rsidR="00F6134D" w:rsidRPr="00F6134D">
              <w:rPr>
                <w:rFonts w:ascii="Calibri" w:hAnsi="Calibri" w:cs="CenturyGothic"/>
              </w:rPr>
              <w:t xml:space="preserve">means creating more businesses, </w:t>
            </w:r>
            <w:r w:rsidR="00E26BE8" w:rsidRPr="00F6134D">
              <w:rPr>
                <w:rFonts w:ascii="Calibri" w:hAnsi="Calibri" w:cs="CenturyGothic"/>
              </w:rPr>
              <w:t>growing e</w:t>
            </w:r>
            <w:r w:rsidR="00F6134D" w:rsidRPr="00F6134D">
              <w:rPr>
                <w:rFonts w:ascii="Calibri" w:hAnsi="Calibri" w:cs="CenturyGothic"/>
              </w:rPr>
              <w:t xml:space="preserve">xisting businesses and boosting </w:t>
            </w:r>
            <w:r w:rsidR="00E26BE8" w:rsidRPr="00F6134D">
              <w:rPr>
                <w:rFonts w:ascii="Calibri" w:hAnsi="Calibri" w:cs="CenturyGothic"/>
              </w:rPr>
              <w:t>exports are key to growing t</w:t>
            </w:r>
            <w:r w:rsidR="00F6134D" w:rsidRPr="00F6134D">
              <w:rPr>
                <w:rFonts w:ascii="Calibri" w:hAnsi="Calibri" w:cs="CenturyGothic"/>
              </w:rPr>
              <w:t xml:space="preserve">he SE LEP </w:t>
            </w:r>
            <w:r w:rsidR="00E26BE8" w:rsidRPr="00F6134D">
              <w:rPr>
                <w:rFonts w:ascii="Calibri" w:hAnsi="Calibri" w:cs="CenturyGothic"/>
              </w:rPr>
              <w:t>economy as a whole</w:t>
            </w:r>
            <w:r w:rsidR="00F6134D" w:rsidRPr="00F6134D">
              <w:rPr>
                <w:rFonts w:ascii="Calibri" w:hAnsi="Calibri" w:cs="CenturyGothic"/>
              </w:rPr>
              <w:t>.</w:t>
            </w:r>
          </w:p>
          <w:p w:rsidR="00F6134D" w:rsidRPr="00F6134D" w:rsidRDefault="00F6134D" w:rsidP="00F6134D">
            <w:pPr>
              <w:autoSpaceDE w:val="0"/>
              <w:autoSpaceDN w:val="0"/>
              <w:adjustRightInd w:val="0"/>
              <w:jc w:val="both"/>
              <w:rPr>
                <w:rFonts w:ascii="Calibri" w:hAnsi="Calibri" w:cs="CenturyGothic"/>
              </w:rPr>
            </w:pPr>
          </w:p>
          <w:p w:rsidR="00E26BE8" w:rsidRPr="00F6134D" w:rsidRDefault="00E26BE8" w:rsidP="00F6134D">
            <w:pPr>
              <w:autoSpaceDE w:val="0"/>
              <w:autoSpaceDN w:val="0"/>
              <w:adjustRightInd w:val="0"/>
              <w:jc w:val="both"/>
              <w:rPr>
                <w:rFonts w:ascii="Calibri" w:hAnsi="Calibri" w:cs="CenturyGothic-Bold"/>
                <w:bCs/>
              </w:rPr>
            </w:pPr>
            <w:r w:rsidRPr="00F6134D">
              <w:rPr>
                <w:rFonts w:ascii="Calibri" w:hAnsi="Calibri" w:cs="CenturyGothic"/>
              </w:rPr>
              <w:t xml:space="preserve">The SEP focuses on the </w:t>
            </w:r>
            <w:r w:rsidR="00F6134D" w:rsidRPr="00F6134D">
              <w:rPr>
                <w:rFonts w:ascii="Calibri" w:hAnsi="Calibri" w:cs="CenturyGothic"/>
              </w:rPr>
              <w:t xml:space="preserve">development of 12 growth corridors across the LEP area. One of these is the A127 London-Basildon-Southend Corridor. The SEP makes reference to the fact that </w:t>
            </w:r>
            <w:r w:rsidR="00F6134D" w:rsidRPr="00F6134D">
              <w:rPr>
                <w:rFonts w:ascii="Calibri" w:hAnsi="Calibri" w:cs="CenturyGothic-Bold"/>
                <w:bCs/>
              </w:rPr>
              <w:t>London Southend Airport</w:t>
            </w:r>
            <w:r w:rsidR="00F6134D" w:rsidRPr="00F6134D">
              <w:rPr>
                <w:rFonts w:ascii="Calibri" w:hAnsi="Calibri" w:cs="CenturyGothic"/>
              </w:rPr>
              <w:t>, now with scheduled air services to</w:t>
            </w:r>
            <w:r w:rsidR="00F6134D" w:rsidRPr="00F6134D">
              <w:rPr>
                <w:rFonts w:ascii="Calibri" w:hAnsi="Calibri" w:cs="CenturyGothic-Bold"/>
                <w:bCs/>
              </w:rPr>
              <w:t xml:space="preserve"> </w:t>
            </w:r>
            <w:r w:rsidR="00F6134D" w:rsidRPr="00F6134D">
              <w:rPr>
                <w:rFonts w:ascii="Calibri" w:hAnsi="Calibri" w:cs="CenturyGothic"/>
              </w:rPr>
              <w:t>Europe and hub airports for onward global travel, and its neighbouring business park</w:t>
            </w:r>
            <w:r w:rsidR="008122B6">
              <w:rPr>
                <w:rFonts w:ascii="Calibri" w:hAnsi="Calibri" w:cs="CenturyGothic"/>
              </w:rPr>
              <w:t>,</w:t>
            </w:r>
            <w:r w:rsidR="00F6134D" w:rsidRPr="00F6134D">
              <w:rPr>
                <w:rFonts w:ascii="Calibri" w:hAnsi="Calibri" w:cs="CenturyGothic"/>
              </w:rPr>
              <w:t xml:space="preserve"> is</w:t>
            </w:r>
            <w:r w:rsidR="00F6134D" w:rsidRPr="00F6134D">
              <w:rPr>
                <w:rFonts w:ascii="Calibri" w:hAnsi="Calibri" w:cs="CenturyGothic-Bold"/>
                <w:bCs/>
              </w:rPr>
              <w:t xml:space="preserve"> </w:t>
            </w:r>
            <w:r w:rsidR="00F6134D" w:rsidRPr="00F6134D">
              <w:rPr>
                <w:rFonts w:ascii="Calibri" w:hAnsi="Calibri" w:cs="CenturyGothic"/>
              </w:rPr>
              <w:t>proving attractive to a wide range of global</w:t>
            </w:r>
            <w:r w:rsidR="00F6134D" w:rsidRPr="00F6134D">
              <w:rPr>
                <w:rFonts w:ascii="Calibri" w:hAnsi="Calibri" w:cs="CenturyGothic-Bold"/>
                <w:bCs/>
              </w:rPr>
              <w:t xml:space="preserve"> </w:t>
            </w:r>
            <w:r w:rsidR="00F6134D" w:rsidRPr="00F6134D">
              <w:rPr>
                <w:rFonts w:ascii="Calibri" w:hAnsi="Calibri" w:cs="CenturyGothic"/>
              </w:rPr>
              <w:t>companies and offers capacity for at least</w:t>
            </w:r>
            <w:r w:rsidR="00F6134D" w:rsidRPr="00F6134D">
              <w:rPr>
                <w:rFonts w:ascii="Calibri" w:hAnsi="Calibri" w:cs="CenturyGothic-Bold"/>
                <w:bCs/>
              </w:rPr>
              <w:t xml:space="preserve"> </w:t>
            </w:r>
            <w:r w:rsidR="00F6134D" w:rsidRPr="00F6134D">
              <w:rPr>
                <w:rFonts w:ascii="Calibri" w:hAnsi="Calibri" w:cs="CenturyGothic"/>
              </w:rPr>
              <w:t>4,200 additional jobs up to 2021 and a further</w:t>
            </w:r>
            <w:r w:rsidR="00F6134D" w:rsidRPr="00F6134D">
              <w:rPr>
                <w:rFonts w:ascii="Calibri" w:hAnsi="Calibri" w:cs="CenturyGothic-Bold"/>
                <w:bCs/>
              </w:rPr>
              <w:t xml:space="preserve"> </w:t>
            </w:r>
            <w:r w:rsidR="008122B6">
              <w:rPr>
                <w:rFonts w:ascii="Calibri" w:hAnsi="Calibri" w:cs="CenturyGothic"/>
              </w:rPr>
              <w:t>3,180 post 2021</w:t>
            </w:r>
            <w:r w:rsidR="00F6134D" w:rsidRPr="00F6134D">
              <w:rPr>
                <w:rFonts w:ascii="Calibri" w:hAnsi="Calibri" w:cs="CenturyGothic"/>
              </w:rPr>
              <w:t xml:space="preserve">. It refers to the fact that one of </w:t>
            </w:r>
            <w:r w:rsidR="00F6134D" w:rsidRPr="00F6134D">
              <w:rPr>
                <w:rFonts w:ascii="Calibri" w:hAnsi="Calibri" w:cs="CenturyGothic-Bold"/>
                <w:bCs/>
              </w:rPr>
              <w:t xml:space="preserve">Anglia Ruskin University’s Med Tech </w:t>
            </w:r>
            <w:r w:rsidR="00F6134D" w:rsidRPr="00F6134D">
              <w:rPr>
                <w:rFonts w:ascii="Calibri" w:hAnsi="Calibri" w:cs="CenturyGothic"/>
              </w:rPr>
              <w:t>campuses is being developed in Southend.</w:t>
            </w:r>
          </w:p>
          <w:p w:rsidR="001E1025" w:rsidRDefault="001E1025" w:rsidP="00F8329C">
            <w:pPr>
              <w:pStyle w:val="NoSpacing"/>
            </w:pPr>
          </w:p>
          <w:p w:rsidR="001E1025" w:rsidRPr="00F6134D" w:rsidRDefault="001E1025" w:rsidP="001E1025">
            <w:pPr>
              <w:pStyle w:val="Default"/>
              <w:jc w:val="both"/>
              <w:rPr>
                <w:rFonts w:ascii="Calibri" w:hAnsi="Calibri"/>
                <w:sz w:val="22"/>
                <w:szCs w:val="22"/>
              </w:rPr>
            </w:pPr>
            <w:r w:rsidRPr="00F6134D">
              <w:rPr>
                <w:rFonts w:ascii="Calibri" w:hAnsi="Calibri"/>
                <w:sz w:val="22"/>
                <w:szCs w:val="22"/>
              </w:rPr>
              <w:t>In January 2015, the SELEP agreed an expansion to its Growth Deal with the Government which will see an extra £46.1m invested in the area between 2016 and 2021. This is in addition to the £442.2m of funding committed by the Government on 7 July 2014. As part of this expansion, a number of additional projects were identified in the Growth Deal including:</w:t>
            </w:r>
          </w:p>
          <w:p w:rsidR="001E1025" w:rsidRPr="00F6134D" w:rsidRDefault="001E1025" w:rsidP="001E1025">
            <w:pPr>
              <w:autoSpaceDE w:val="0"/>
              <w:autoSpaceDN w:val="0"/>
              <w:adjustRightInd w:val="0"/>
              <w:jc w:val="both"/>
              <w:rPr>
                <w:rFonts w:ascii="Calibri" w:hAnsi="Calibri" w:cs="Arial"/>
                <w:color w:val="000000"/>
              </w:rPr>
            </w:pPr>
            <w:r w:rsidRPr="00F6134D">
              <w:rPr>
                <w:rFonts w:ascii="Calibri" w:hAnsi="Calibri" w:cs="Arial"/>
                <w:color w:val="000000"/>
              </w:rPr>
              <w:t xml:space="preserve"> </w:t>
            </w:r>
          </w:p>
          <w:p w:rsidR="001E1025" w:rsidRPr="00F6134D" w:rsidRDefault="001E1025" w:rsidP="001E1025">
            <w:pPr>
              <w:autoSpaceDE w:val="0"/>
              <w:autoSpaceDN w:val="0"/>
              <w:adjustRightInd w:val="0"/>
              <w:jc w:val="both"/>
              <w:rPr>
                <w:rFonts w:ascii="Calibri" w:hAnsi="Calibri" w:cs="Arial"/>
                <w:color w:val="000000"/>
              </w:rPr>
            </w:pPr>
            <w:r w:rsidRPr="00F6134D">
              <w:rPr>
                <w:rFonts w:ascii="Calibri" w:hAnsi="Calibri" w:cs="Arial"/>
                <w:color w:val="000000"/>
              </w:rPr>
              <w:t>“</w:t>
            </w:r>
            <w:r w:rsidRPr="00F6134D">
              <w:rPr>
                <w:rFonts w:ascii="Calibri" w:hAnsi="Calibri" w:cs="Arial"/>
                <w:i/>
                <w:color w:val="000000"/>
              </w:rPr>
              <w:t>The Southend and Rochford Joint Area Action Plan, which provides for further expansion of London Southend Airport onto a 55-acre, greenfield to create a high end Business Park and 858 homes and up to 2600 new jobs</w:t>
            </w:r>
            <w:r w:rsidRPr="00F6134D">
              <w:rPr>
                <w:rFonts w:ascii="Calibri" w:hAnsi="Calibri" w:cs="Arial"/>
                <w:color w:val="000000"/>
              </w:rPr>
              <w:t xml:space="preserve">” </w:t>
            </w:r>
          </w:p>
          <w:p w:rsidR="00F8329C" w:rsidRPr="00F8329C" w:rsidRDefault="00F8329C" w:rsidP="00F8329C">
            <w:pPr>
              <w:pStyle w:val="NoSpacing"/>
              <w:rPr>
                <w:b/>
              </w:rPr>
            </w:pPr>
          </w:p>
          <w:p w:rsidR="000E6E9B" w:rsidRPr="00422CD7" w:rsidRDefault="000E6E9B" w:rsidP="00422CD7">
            <w:pPr>
              <w:pStyle w:val="NoSpacing"/>
              <w:rPr>
                <w:rFonts w:ascii="Calibri" w:hAnsi="Calibri"/>
                <w:b/>
                <w:i/>
              </w:rPr>
            </w:pPr>
            <w:r w:rsidRPr="00422CD7">
              <w:rPr>
                <w:rStyle w:val="Strong"/>
                <w:rFonts w:ascii="Calibri" w:hAnsi="Calibri" w:cs="Arial"/>
                <w:color w:val="333333"/>
                <w:sz w:val="22"/>
                <w:szCs w:val="22"/>
              </w:rPr>
              <w:t xml:space="preserve">London Southend Airport and Environs </w:t>
            </w:r>
            <w:r w:rsidRPr="00422CD7">
              <w:rPr>
                <w:rFonts w:ascii="Calibri" w:hAnsi="Calibri"/>
                <w:b/>
              </w:rPr>
              <w:t>Joint Area Action Plan</w:t>
            </w:r>
            <w:r w:rsidR="00B56D21">
              <w:rPr>
                <w:rFonts w:ascii="Calibri" w:hAnsi="Calibri"/>
                <w:b/>
              </w:rPr>
              <w:t xml:space="preserve"> (JAAP)</w:t>
            </w:r>
          </w:p>
          <w:p w:rsidR="000E6E9B" w:rsidRPr="00422CD7" w:rsidRDefault="000E6E9B" w:rsidP="000E6E9B">
            <w:pPr>
              <w:pStyle w:val="NoSpacing"/>
              <w:ind w:left="67"/>
              <w:rPr>
                <w:rFonts w:ascii="Calibri" w:hAnsi="Calibri"/>
                <w:b/>
                <w:i/>
              </w:rPr>
            </w:pPr>
          </w:p>
          <w:p w:rsidR="000E6E9B" w:rsidRPr="008321C4" w:rsidRDefault="000E6E9B" w:rsidP="008321C4">
            <w:pPr>
              <w:pStyle w:val="NormalWeb"/>
              <w:jc w:val="both"/>
              <w:rPr>
                <w:rFonts w:asciiTheme="minorHAnsi" w:hAnsiTheme="minorHAnsi" w:cs="Arial"/>
                <w:sz w:val="22"/>
                <w:szCs w:val="22"/>
              </w:rPr>
            </w:pPr>
            <w:r w:rsidRPr="008321C4">
              <w:rPr>
                <w:rFonts w:asciiTheme="minorHAnsi" w:hAnsiTheme="minorHAnsi" w:cs="Arial"/>
                <w:sz w:val="22"/>
                <w:szCs w:val="22"/>
              </w:rPr>
              <w:t>The London Southend Airport and Environs Joint Area Action Plan (JAAP) was formally adopted by Rochford District and Southend Borough Councils on 16 December 2014, following confirmation from the Planning Inspector conducting the examination that the Plan was sound and legally compliant</w:t>
            </w:r>
            <w:r w:rsidR="00B81A0D">
              <w:rPr>
                <w:rFonts w:asciiTheme="minorHAnsi" w:hAnsiTheme="minorHAnsi" w:cs="Arial"/>
                <w:sz w:val="22"/>
                <w:szCs w:val="22"/>
              </w:rPr>
              <w:t xml:space="preserve"> in accordance with the National Planning Policy Framework (NPPF)</w:t>
            </w:r>
            <w:r w:rsidRPr="008321C4">
              <w:rPr>
                <w:rFonts w:asciiTheme="minorHAnsi" w:hAnsiTheme="minorHAnsi" w:cs="Arial"/>
                <w:sz w:val="22"/>
                <w:szCs w:val="22"/>
              </w:rPr>
              <w:t>.</w:t>
            </w:r>
            <w:r w:rsidR="00422CD7" w:rsidRPr="008321C4">
              <w:rPr>
                <w:rFonts w:asciiTheme="minorHAnsi" w:hAnsiTheme="minorHAnsi" w:cs="Arial"/>
                <w:sz w:val="22"/>
                <w:szCs w:val="22"/>
              </w:rPr>
              <w:t xml:space="preserve"> </w:t>
            </w:r>
            <w:r w:rsidRPr="008321C4">
              <w:rPr>
                <w:rFonts w:asciiTheme="minorHAnsi" w:hAnsiTheme="minorHAnsi" w:cs="Arial"/>
                <w:sz w:val="22"/>
                <w:szCs w:val="22"/>
              </w:rPr>
              <w:t>The JAAP has been prepared by Rochford District and Southend Borough Councils to respond to the challenges and opportunities offered by London Southend Airport and its surrounding area.</w:t>
            </w:r>
            <w:r w:rsidR="00422CD7" w:rsidRPr="008321C4">
              <w:rPr>
                <w:rFonts w:asciiTheme="minorHAnsi" w:hAnsiTheme="minorHAnsi" w:cs="Arial"/>
                <w:sz w:val="22"/>
                <w:szCs w:val="22"/>
              </w:rPr>
              <w:t xml:space="preserve"> The JAAP provides a planning policy framework to manage/guide growth and development around the Airport and establishes a number of key </w:t>
            </w:r>
            <w:r w:rsidR="00971654" w:rsidRPr="008321C4">
              <w:rPr>
                <w:rFonts w:asciiTheme="minorHAnsi" w:hAnsiTheme="minorHAnsi" w:cs="Arial"/>
                <w:sz w:val="22"/>
                <w:szCs w:val="22"/>
              </w:rPr>
              <w:t xml:space="preserve">development and design </w:t>
            </w:r>
            <w:r w:rsidR="00422CD7" w:rsidRPr="008321C4">
              <w:rPr>
                <w:rFonts w:asciiTheme="minorHAnsi" w:hAnsiTheme="minorHAnsi" w:cs="Arial"/>
                <w:sz w:val="22"/>
                <w:szCs w:val="22"/>
              </w:rPr>
              <w:t>principles.</w:t>
            </w:r>
          </w:p>
          <w:p w:rsidR="00971654" w:rsidRPr="008321C4" w:rsidRDefault="00971654" w:rsidP="008321C4">
            <w:pPr>
              <w:pStyle w:val="NormalWeb"/>
              <w:jc w:val="both"/>
              <w:rPr>
                <w:rFonts w:asciiTheme="minorHAnsi" w:hAnsiTheme="minorHAnsi" w:cs="Arial"/>
                <w:sz w:val="22"/>
                <w:szCs w:val="22"/>
              </w:rPr>
            </w:pPr>
          </w:p>
          <w:p w:rsidR="00971654" w:rsidRPr="008321C4" w:rsidRDefault="00971654" w:rsidP="008321C4">
            <w:pPr>
              <w:pStyle w:val="NormalWeb"/>
              <w:jc w:val="both"/>
              <w:rPr>
                <w:rFonts w:asciiTheme="minorHAnsi" w:hAnsiTheme="minorHAnsi" w:cs="Arial"/>
                <w:sz w:val="22"/>
                <w:szCs w:val="22"/>
              </w:rPr>
            </w:pPr>
            <w:r w:rsidRPr="008321C4">
              <w:rPr>
                <w:rFonts w:asciiTheme="minorHAnsi" w:hAnsiTheme="minorHAnsi" w:cs="Arial"/>
                <w:sz w:val="22"/>
                <w:szCs w:val="22"/>
              </w:rPr>
              <w:t xml:space="preserve">The JAAP has been informed by an extensive technical evidence base focused on environmental, economic </w:t>
            </w:r>
            <w:r w:rsidR="00892523" w:rsidRPr="008321C4">
              <w:rPr>
                <w:rFonts w:asciiTheme="minorHAnsi" w:hAnsiTheme="minorHAnsi" w:cs="Arial"/>
                <w:sz w:val="22"/>
                <w:szCs w:val="22"/>
              </w:rPr>
              <w:t xml:space="preserve">and transport factors in order to provide confidence over the delivery prospects. </w:t>
            </w:r>
            <w:r w:rsidR="00B56D21" w:rsidRPr="008321C4">
              <w:rPr>
                <w:rFonts w:asciiTheme="minorHAnsi" w:hAnsiTheme="minorHAnsi" w:cs="Arial"/>
                <w:sz w:val="22"/>
                <w:szCs w:val="22"/>
              </w:rPr>
              <w:t xml:space="preserve">The JAAP is fully aligned with the ambitions of the Rochford District Council and Southend on Sea Borough Council Core Strategies, both of which are adopted. </w:t>
            </w:r>
          </w:p>
          <w:p w:rsidR="00B56D21" w:rsidRPr="008321C4" w:rsidRDefault="00B56D21" w:rsidP="008321C4">
            <w:pPr>
              <w:pStyle w:val="NormalWeb"/>
              <w:jc w:val="both"/>
              <w:rPr>
                <w:rFonts w:asciiTheme="minorHAnsi" w:hAnsiTheme="minorHAnsi" w:cs="Arial"/>
                <w:sz w:val="22"/>
                <w:szCs w:val="22"/>
              </w:rPr>
            </w:pPr>
          </w:p>
          <w:p w:rsidR="00B56D21" w:rsidRPr="008321C4" w:rsidRDefault="00B56D21" w:rsidP="008321C4">
            <w:pPr>
              <w:pStyle w:val="NormalWeb"/>
              <w:jc w:val="both"/>
              <w:rPr>
                <w:rFonts w:asciiTheme="minorHAnsi" w:hAnsiTheme="minorHAnsi" w:cs="Arial"/>
                <w:sz w:val="22"/>
                <w:szCs w:val="22"/>
              </w:rPr>
            </w:pPr>
            <w:r w:rsidRPr="008321C4">
              <w:rPr>
                <w:rFonts w:asciiTheme="minorHAnsi" w:hAnsiTheme="minorHAnsi" w:cs="Arial"/>
                <w:sz w:val="22"/>
                <w:szCs w:val="22"/>
              </w:rPr>
              <w:t>The JAAP vision is presented below:</w:t>
            </w:r>
          </w:p>
          <w:p w:rsidR="00B56D21" w:rsidRPr="008321C4" w:rsidRDefault="00B56D21" w:rsidP="008321C4">
            <w:pPr>
              <w:pStyle w:val="NormalWeb"/>
              <w:jc w:val="both"/>
              <w:rPr>
                <w:rFonts w:asciiTheme="minorHAnsi" w:hAnsiTheme="minorHAnsi" w:cs="Arial"/>
                <w:sz w:val="22"/>
                <w:szCs w:val="22"/>
              </w:rPr>
            </w:pPr>
          </w:p>
          <w:p w:rsidR="00B56D21" w:rsidRPr="00302766" w:rsidRDefault="00B56D21" w:rsidP="008122B6">
            <w:pPr>
              <w:autoSpaceDE w:val="0"/>
              <w:autoSpaceDN w:val="0"/>
              <w:adjustRightInd w:val="0"/>
              <w:jc w:val="center"/>
              <w:rPr>
                <w:rFonts w:cs="FuturaLtBT"/>
                <w:i/>
              </w:rPr>
            </w:pPr>
            <w:r w:rsidRPr="00302766">
              <w:rPr>
                <w:rFonts w:cs="FuturaLtBT"/>
                <w:i/>
              </w:rPr>
              <w:t>‘An area that realises its potential as a driver for the sub-regional economy,</w:t>
            </w:r>
          </w:p>
          <w:p w:rsidR="00B56D21" w:rsidRPr="00302766" w:rsidRDefault="00B56D21" w:rsidP="008122B6">
            <w:pPr>
              <w:autoSpaceDE w:val="0"/>
              <w:autoSpaceDN w:val="0"/>
              <w:adjustRightInd w:val="0"/>
              <w:jc w:val="center"/>
              <w:rPr>
                <w:rFonts w:cs="FuturaLtBT"/>
                <w:i/>
              </w:rPr>
            </w:pPr>
            <w:r w:rsidRPr="00302766">
              <w:rPr>
                <w:rFonts w:cs="FuturaLtBT"/>
                <w:i/>
              </w:rPr>
              <w:t>providing significant employment opportunities and ensuring a good quality of life</w:t>
            </w:r>
          </w:p>
          <w:p w:rsidR="00B56D21" w:rsidRPr="00302766" w:rsidRDefault="00B56D21" w:rsidP="008122B6">
            <w:pPr>
              <w:autoSpaceDE w:val="0"/>
              <w:autoSpaceDN w:val="0"/>
              <w:adjustRightInd w:val="0"/>
              <w:jc w:val="center"/>
              <w:rPr>
                <w:rFonts w:cs="FuturaLtBT"/>
                <w:i/>
              </w:rPr>
            </w:pPr>
            <w:r w:rsidRPr="00302766">
              <w:rPr>
                <w:rFonts w:cs="FuturaLtBT"/>
                <w:i/>
              </w:rPr>
              <w:t>for its residents and workers. To achieve this, the area’s assets and opportunities</w:t>
            </w:r>
          </w:p>
          <w:p w:rsidR="00B56D21" w:rsidRPr="00302766" w:rsidRDefault="00B56D21" w:rsidP="008122B6">
            <w:pPr>
              <w:pStyle w:val="NormalWeb"/>
              <w:jc w:val="center"/>
              <w:rPr>
                <w:rFonts w:asciiTheme="minorHAnsi" w:hAnsiTheme="minorHAnsi" w:cs="FuturaLtBT"/>
                <w:i/>
                <w:sz w:val="22"/>
                <w:szCs w:val="22"/>
              </w:rPr>
            </w:pPr>
            <w:r w:rsidRPr="00302766">
              <w:rPr>
                <w:rFonts w:asciiTheme="minorHAnsi" w:hAnsiTheme="minorHAnsi" w:cs="FuturaLtBT"/>
                <w:i/>
                <w:sz w:val="22"/>
                <w:szCs w:val="22"/>
              </w:rPr>
              <w:t>for employment need to be supported and developed’</w:t>
            </w:r>
            <w:r w:rsidR="00302766" w:rsidRPr="00302766">
              <w:rPr>
                <w:rFonts w:asciiTheme="minorHAnsi" w:hAnsiTheme="minorHAnsi" w:cs="FuturaLtBT"/>
                <w:i/>
                <w:sz w:val="22"/>
                <w:szCs w:val="22"/>
              </w:rPr>
              <w:t>.</w:t>
            </w:r>
          </w:p>
          <w:p w:rsidR="00B56D21" w:rsidRPr="008321C4" w:rsidRDefault="00B56D21" w:rsidP="008321C4">
            <w:pPr>
              <w:pStyle w:val="NormalWeb"/>
              <w:jc w:val="both"/>
              <w:rPr>
                <w:rFonts w:asciiTheme="minorHAnsi" w:hAnsiTheme="minorHAnsi" w:cs="FuturaLtBT"/>
                <w:sz w:val="22"/>
                <w:szCs w:val="22"/>
              </w:rPr>
            </w:pPr>
          </w:p>
          <w:p w:rsidR="00B56D21" w:rsidRPr="00F60886" w:rsidRDefault="00302766" w:rsidP="008321C4">
            <w:pPr>
              <w:autoSpaceDE w:val="0"/>
              <w:autoSpaceDN w:val="0"/>
              <w:adjustRightInd w:val="0"/>
              <w:jc w:val="both"/>
              <w:rPr>
                <w:rFonts w:cs="FuturaLtBT"/>
                <w:i/>
              </w:rPr>
            </w:pPr>
            <w:r>
              <w:rPr>
                <w:rFonts w:cs="FuturaLtBT"/>
              </w:rPr>
              <w:t xml:space="preserve">The site for which infrastructure is being proposed as part of this </w:t>
            </w:r>
            <w:r w:rsidR="00F60886">
              <w:rPr>
                <w:rFonts w:cs="FuturaLtBT"/>
              </w:rPr>
              <w:t xml:space="preserve">business case is referred to in the JAAP as Saxon Business Park. The JAAP has the following ambition for the site: </w:t>
            </w:r>
            <w:r w:rsidR="00F60886" w:rsidRPr="00F60886">
              <w:rPr>
                <w:rFonts w:cs="FuturaLtBT"/>
                <w:i/>
              </w:rPr>
              <w:t>“t</w:t>
            </w:r>
            <w:r w:rsidR="00B56D21" w:rsidRPr="00F60886">
              <w:rPr>
                <w:rFonts w:cs="FuturaLtBT"/>
                <w:i/>
              </w:rPr>
              <w:t>he award winning exemplar Saxon Business Park will provide modern,</w:t>
            </w:r>
          </w:p>
          <w:p w:rsidR="00B56D21" w:rsidRPr="00F60886" w:rsidRDefault="00F60886" w:rsidP="008122B6">
            <w:pPr>
              <w:autoSpaceDE w:val="0"/>
              <w:autoSpaceDN w:val="0"/>
              <w:adjustRightInd w:val="0"/>
              <w:jc w:val="both"/>
              <w:rPr>
                <w:rFonts w:cs="FuturaLtBT"/>
                <w:i/>
              </w:rPr>
            </w:pPr>
            <w:r>
              <w:rPr>
                <w:rFonts w:cs="FuturaLtBT"/>
                <w:i/>
              </w:rPr>
              <w:t>sustainable, spacious, and well-</w:t>
            </w:r>
            <w:r w:rsidR="00B56D21" w:rsidRPr="00F60886">
              <w:rPr>
                <w:rFonts w:cs="FuturaLtBT"/>
                <w:i/>
              </w:rPr>
              <w:t xml:space="preserve">designed office accommodation </w:t>
            </w:r>
            <w:r w:rsidRPr="00F60886">
              <w:rPr>
                <w:rFonts w:cs="FuturaLtBT"/>
                <w:i/>
              </w:rPr>
              <w:t>w</w:t>
            </w:r>
            <w:r w:rsidR="00B56D21" w:rsidRPr="00F60886">
              <w:rPr>
                <w:rFonts w:cs="FuturaLtBT"/>
                <w:i/>
              </w:rPr>
              <w:t>ith space for a</w:t>
            </w:r>
            <w:r w:rsidRPr="00F60886">
              <w:rPr>
                <w:rFonts w:cs="FuturaLtBT"/>
                <w:i/>
              </w:rPr>
              <w:t xml:space="preserve"> range of high-tech businesses, </w:t>
            </w:r>
            <w:r w:rsidR="00B56D21" w:rsidRPr="00F60886">
              <w:rPr>
                <w:rFonts w:cs="FuturaLtBT"/>
                <w:i/>
              </w:rPr>
              <w:t>and new start-up businesses, the business park will</w:t>
            </w:r>
            <w:r w:rsidRPr="00F60886">
              <w:rPr>
                <w:rFonts w:cs="FuturaLtBT"/>
                <w:i/>
              </w:rPr>
              <w:t xml:space="preserve"> provide quality jobs for local </w:t>
            </w:r>
            <w:r w:rsidR="00B56D21" w:rsidRPr="00F60886">
              <w:rPr>
                <w:rFonts w:cs="FuturaLtBT"/>
                <w:i/>
              </w:rPr>
              <w:t>people, with employment opportunities in hi</w:t>
            </w:r>
            <w:r w:rsidRPr="00F60886">
              <w:rPr>
                <w:rFonts w:cs="FuturaLtBT"/>
                <w:i/>
              </w:rPr>
              <w:t xml:space="preserve">gher paid jobs, and support for </w:t>
            </w:r>
            <w:r w:rsidR="00B56D21" w:rsidRPr="00F60886">
              <w:rPr>
                <w:rFonts w:cs="FuturaLtBT"/>
                <w:i/>
              </w:rPr>
              <w:t>economic activities that have the capacity to generate employment growth</w:t>
            </w:r>
            <w:r w:rsidRPr="00F60886">
              <w:rPr>
                <w:rFonts w:cs="FuturaLtBT"/>
                <w:i/>
              </w:rPr>
              <w:t>”</w:t>
            </w:r>
            <w:r w:rsidR="00B56D21" w:rsidRPr="00F60886">
              <w:rPr>
                <w:rFonts w:cs="FuturaLtBT"/>
                <w:i/>
              </w:rPr>
              <w:t>.</w:t>
            </w:r>
          </w:p>
          <w:p w:rsidR="00B56D21" w:rsidRPr="008321C4" w:rsidRDefault="00B56D21" w:rsidP="008122B6">
            <w:pPr>
              <w:pStyle w:val="NormalWeb"/>
              <w:jc w:val="both"/>
              <w:rPr>
                <w:rFonts w:asciiTheme="minorHAnsi" w:hAnsiTheme="minorHAnsi" w:cs="FuturaLtBT"/>
                <w:sz w:val="22"/>
                <w:szCs w:val="22"/>
              </w:rPr>
            </w:pPr>
          </w:p>
          <w:p w:rsidR="00B56D21" w:rsidRPr="008321C4" w:rsidRDefault="00B56D21" w:rsidP="00B81A0D">
            <w:pPr>
              <w:autoSpaceDE w:val="0"/>
              <w:autoSpaceDN w:val="0"/>
              <w:adjustRightInd w:val="0"/>
              <w:jc w:val="both"/>
              <w:rPr>
                <w:rFonts w:cs="FuturaLtBT"/>
              </w:rPr>
            </w:pPr>
            <w:r w:rsidRPr="008321C4">
              <w:rPr>
                <w:rFonts w:cs="FuturaLtBT"/>
              </w:rPr>
              <w:t xml:space="preserve">The JAAP </w:t>
            </w:r>
            <w:r w:rsidR="00F60886">
              <w:rPr>
                <w:rFonts w:cs="FuturaLtBT"/>
              </w:rPr>
              <w:t xml:space="preserve">recognises that the </w:t>
            </w:r>
            <w:r w:rsidRPr="008321C4">
              <w:rPr>
                <w:rFonts w:cs="FuturaLtBT"/>
              </w:rPr>
              <w:t>area must take a pro-active role in encouraging</w:t>
            </w:r>
          </w:p>
          <w:p w:rsidR="00B56D21" w:rsidRPr="008321C4" w:rsidRDefault="00B56D21" w:rsidP="00C07A63">
            <w:pPr>
              <w:autoSpaceDE w:val="0"/>
              <w:autoSpaceDN w:val="0"/>
              <w:adjustRightInd w:val="0"/>
              <w:jc w:val="both"/>
              <w:rPr>
                <w:rFonts w:cs="FuturaLtBT"/>
              </w:rPr>
            </w:pPr>
            <w:r w:rsidRPr="008321C4">
              <w:rPr>
                <w:rFonts w:cs="FuturaLtBT"/>
              </w:rPr>
              <w:t>employment development for both aviation-related growth (associated with airport</w:t>
            </w:r>
          </w:p>
          <w:p w:rsidR="00B56D21" w:rsidRPr="008321C4" w:rsidRDefault="00B56D21" w:rsidP="00336271">
            <w:pPr>
              <w:autoSpaceDE w:val="0"/>
              <w:autoSpaceDN w:val="0"/>
              <w:adjustRightInd w:val="0"/>
              <w:jc w:val="both"/>
              <w:rPr>
                <w:rFonts w:cs="FuturaLtBT"/>
              </w:rPr>
            </w:pPr>
            <w:r w:rsidRPr="008321C4">
              <w:rPr>
                <w:rFonts w:cs="FuturaLtBT"/>
              </w:rPr>
              <w:t>growth) and targeting the delivery of accommodation for high-tech industries and</w:t>
            </w:r>
          </w:p>
          <w:p w:rsidR="00B56D21" w:rsidRPr="008321C4" w:rsidRDefault="00B56D21" w:rsidP="00B42C80">
            <w:pPr>
              <w:pStyle w:val="NormalWeb"/>
              <w:jc w:val="both"/>
              <w:rPr>
                <w:rFonts w:asciiTheme="minorHAnsi" w:hAnsiTheme="minorHAnsi" w:cs="FuturaLtBT"/>
                <w:sz w:val="22"/>
                <w:szCs w:val="22"/>
              </w:rPr>
            </w:pPr>
            <w:r w:rsidRPr="008321C4">
              <w:rPr>
                <w:rFonts w:asciiTheme="minorHAnsi" w:hAnsiTheme="minorHAnsi" w:cs="FuturaLtBT"/>
                <w:sz w:val="22"/>
                <w:szCs w:val="22"/>
              </w:rPr>
              <w:t>offices (specifically in planning use classes B1 and B2).</w:t>
            </w:r>
          </w:p>
          <w:p w:rsidR="00B56D21" w:rsidRPr="008321C4" w:rsidRDefault="00B56D21" w:rsidP="008321C4">
            <w:pPr>
              <w:pStyle w:val="NormalWeb"/>
              <w:jc w:val="both"/>
              <w:rPr>
                <w:rFonts w:asciiTheme="minorHAnsi" w:hAnsiTheme="minorHAnsi" w:cs="FuturaLtBT"/>
                <w:sz w:val="22"/>
                <w:szCs w:val="22"/>
              </w:rPr>
            </w:pPr>
          </w:p>
          <w:p w:rsidR="00B56D21" w:rsidRPr="00F60886" w:rsidRDefault="00F60886" w:rsidP="00F60886">
            <w:pPr>
              <w:autoSpaceDE w:val="0"/>
              <w:autoSpaceDN w:val="0"/>
              <w:adjustRightInd w:val="0"/>
              <w:jc w:val="both"/>
              <w:rPr>
                <w:rFonts w:cs="FuturaLtBT"/>
              </w:rPr>
            </w:pPr>
            <w:r>
              <w:rPr>
                <w:rFonts w:cs="FuturaLtBT"/>
              </w:rPr>
              <w:t xml:space="preserve">The plan allocates land to </w:t>
            </w:r>
            <w:r w:rsidR="00B56D21" w:rsidRPr="008321C4">
              <w:rPr>
                <w:rFonts w:cs="FuturaLtBT"/>
              </w:rPr>
              <w:t>accommodate up to 109,000 square metres of add</w:t>
            </w:r>
            <w:r>
              <w:rPr>
                <w:rFonts w:cs="FuturaLtBT"/>
              </w:rPr>
              <w:t xml:space="preserve">itional floorspace, with 99,000 </w:t>
            </w:r>
            <w:r w:rsidR="00B56D21" w:rsidRPr="008321C4">
              <w:rPr>
                <w:rFonts w:cs="FuturaLtBT"/>
              </w:rPr>
              <w:t>square metres to be located in the new Saxon Business Park and t</w:t>
            </w:r>
            <w:r>
              <w:rPr>
                <w:rFonts w:cs="FuturaLtBT"/>
              </w:rPr>
              <w:t xml:space="preserve">he balance on a </w:t>
            </w:r>
            <w:r w:rsidR="00B56D21" w:rsidRPr="008321C4">
              <w:rPr>
                <w:rFonts w:cs="FuturaLtBT"/>
              </w:rPr>
              <w:t xml:space="preserve">smaller business park at Nestuda Way, which </w:t>
            </w:r>
            <w:r>
              <w:rPr>
                <w:rFonts w:cs="FuturaLtBT"/>
              </w:rPr>
              <w:t xml:space="preserve">together will accommodate up to </w:t>
            </w:r>
            <w:r w:rsidR="00B56D21" w:rsidRPr="008321C4">
              <w:rPr>
                <w:rFonts w:cs="FuturaLtBT"/>
              </w:rPr>
              <w:t>5,450 additional jobs in the area over the planning period to 2031.</w:t>
            </w:r>
          </w:p>
          <w:p w:rsidR="00B56D21" w:rsidRPr="008321C4" w:rsidRDefault="00B56D21" w:rsidP="008321C4">
            <w:pPr>
              <w:pStyle w:val="NormalWeb"/>
              <w:jc w:val="both"/>
              <w:rPr>
                <w:rFonts w:asciiTheme="minorHAnsi" w:hAnsiTheme="minorHAnsi" w:cs="FuturaLtBT"/>
                <w:sz w:val="22"/>
                <w:szCs w:val="22"/>
              </w:rPr>
            </w:pPr>
          </w:p>
          <w:p w:rsidR="00B56D21" w:rsidRDefault="00F60886" w:rsidP="00F60886">
            <w:pPr>
              <w:autoSpaceDE w:val="0"/>
              <w:autoSpaceDN w:val="0"/>
              <w:adjustRightInd w:val="0"/>
              <w:jc w:val="both"/>
              <w:rPr>
                <w:rFonts w:cs="FuturaLtBT"/>
              </w:rPr>
            </w:pPr>
            <w:r>
              <w:rPr>
                <w:rFonts w:cs="FuturaMdBT,Italic"/>
                <w:i/>
                <w:iCs/>
              </w:rPr>
              <w:t>“</w:t>
            </w:r>
            <w:r w:rsidR="00B56D21" w:rsidRPr="008321C4">
              <w:rPr>
                <w:rFonts w:cs="FuturaMdBT,Italic"/>
                <w:i/>
                <w:iCs/>
              </w:rPr>
              <w:t>Policy E3 - Saxon Business Park</w:t>
            </w:r>
            <w:r>
              <w:rPr>
                <w:rFonts w:cs="FuturaMdBT,Italic"/>
                <w:i/>
                <w:iCs/>
              </w:rPr>
              <w:t xml:space="preserve">” </w:t>
            </w:r>
            <w:r>
              <w:rPr>
                <w:rFonts w:cs="FuturaMdBT,Italic"/>
                <w:iCs/>
              </w:rPr>
              <w:t xml:space="preserve">splits the site into 3 areas and suggests that </w:t>
            </w:r>
            <w:r w:rsidR="00B56D21" w:rsidRPr="008321C4">
              <w:rPr>
                <w:rFonts w:cs="FuturaLtBT"/>
              </w:rPr>
              <w:t xml:space="preserve">applications for development will be supported which </w:t>
            </w:r>
            <w:r>
              <w:rPr>
                <w:rFonts w:cs="FuturaLtBT"/>
              </w:rPr>
              <w:t>deliver B1/B2 uses (plus education in area 1), split as below:</w:t>
            </w:r>
          </w:p>
          <w:p w:rsidR="00746D3B" w:rsidRPr="008321C4" w:rsidRDefault="00746D3B" w:rsidP="00F60886">
            <w:pPr>
              <w:autoSpaceDE w:val="0"/>
              <w:autoSpaceDN w:val="0"/>
              <w:adjustRightInd w:val="0"/>
              <w:jc w:val="both"/>
              <w:rPr>
                <w:rFonts w:cs="FuturaLtBT"/>
              </w:rPr>
            </w:pPr>
          </w:p>
          <w:p w:rsidR="00B56D21" w:rsidRPr="008321C4" w:rsidRDefault="00B56D21" w:rsidP="008321C4">
            <w:pPr>
              <w:autoSpaceDE w:val="0"/>
              <w:autoSpaceDN w:val="0"/>
              <w:adjustRightInd w:val="0"/>
              <w:jc w:val="both"/>
              <w:rPr>
                <w:rFonts w:cs="FuturaLtBT"/>
              </w:rPr>
            </w:pPr>
            <w:r w:rsidRPr="008321C4">
              <w:rPr>
                <w:rFonts w:cs="FuturaLtBT"/>
              </w:rPr>
              <w:t xml:space="preserve">Area 1 </w:t>
            </w:r>
            <w:r w:rsidR="00F60886">
              <w:rPr>
                <w:rFonts w:cs="FuturaLtBT"/>
              </w:rPr>
              <w:t xml:space="preserve">- </w:t>
            </w:r>
            <w:r w:rsidRPr="008321C4">
              <w:rPr>
                <w:rFonts w:cs="FuturaLtBT"/>
              </w:rPr>
              <w:t>B1/Education 20,000</w:t>
            </w:r>
            <w:r w:rsidR="00F60886">
              <w:rPr>
                <w:rFonts w:cs="FuturaLtBT"/>
              </w:rPr>
              <w:t xml:space="preserve"> sqm</w:t>
            </w:r>
          </w:p>
          <w:p w:rsidR="00B56D21" w:rsidRPr="008321C4" w:rsidRDefault="00B56D21" w:rsidP="008321C4">
            <w:pPr>
              <w:autoSpaceDE w:val="0"/>
              <w:autoSpaceDN w:val="0"/>
              <w:adjustRightInd w:val="0"/>
              <w:jc w:val="both"/>
              <w:rPr>
                <w:rFonts w:cs="FuturaLtBT"/>
              </w:rPr>
            </w:pPr>
            <w:r w:rsidRPr="008321C4">
              <w:rPr>
                <w:rFonts w:cs="FuturaLtBT"/>
              </w:rPr>
              <w:t xml:space="preserve">Area 2 </w:t>
            </w:r>
            <w:r w:rsidR="00F60886">
              <w:rPr>
                <w:rFonts w:cs="FuturaLtBT"/>
              </w:rPr>
              <w:t xml:space="preserve">- </w:t>
            </w:r>
            <w:r w:rsidRPr="008321C4">
              <w:rPr>
                <w:rFonts w:cs="FuturaLtBT"/>
              </w:rPr>
              <w:t>B1 and B2 30,000</w:t>
            </w:r>
            <w:r w:rsidR="00F60886">
              <w:rPr>
                <w:rFonts w:cs="FuturaLtBT"/>
              </w:rPr>
              <w:t xml:space="preserve"> sqm</w:t>
            </w:r>
          </w:p>
          <w:p w:rsidR="00B56D21" w:rsidRDefault="00B56D21" w:rsidP="008321C4">
            <w:pPr>
              <w:autoSpaceDE w:val="0"/>
              <w:autoSpaceDN w:val="0"/>
              <w:adjustRightInd w:val="0"/>
              <w:jc w:val="both"/>
              <w:rPr>
                <w:rFonts w:cs="FuturaLtBT"/>
              </w:rPr>
            </w:pPr>
            <w:r w:rsidRPr="008321C4">
              <w:rPr>
                <w:rFonts w:cs="FuturaLtBT"/>
              </w:rPr>
              <w:t xml:space="preserve">Area 3 </w:t>
            </w:r>
            <w:r w:rsidR="00F60886">
              <w:rPr>
                <w:rFonts w:cs="FuturaLtBT"/>
              </w:rPr>
              <w:t xml:space="preserve">- </w:t>
            </w:r>
            <w:r w:rsidRPr="008321C4">
              <w:rPr>
                <w:rFonts w:cs="FuturaLtBT"/>
              </w:rPr>
              <w:t>B1 and B2 49,000</w:t>
            </w:r>
            <w:r w:rsidR="00F60886">
              <w:rPr>
                <w:rFonts w:cs="FuturaLtBT"/>
              </w:rPr>
              <w:t xml:space="preserve"> sqm</w:t>
            </w:r>
          </w:p>
          <w:p w:rsidR="00F60886" w:rsidRPr="008321C4" w:rsidRDefault="00F60886" w:rsidP="008321C4">
            <w:pPr>
              <w:autoSpaceDE w:val="0"/>
              <w:autoSpaceDN w:val="0"/>
              <w:adjustRightInd w:val="0"/>
              <w:jc w:val="both"/>
              <w:rPr>
                <w:rFonts w:cs="FuturaLtBT"/>
              </w:rPr>
            </w:pPr>
          </w:p>
          <w:p w:rsidR="00422CD7" w:rsidRDefault="00F60886" w:rsidP="00F60886">
            <w:pPr>
              <w:autoSpaceDE w:val="0"/>
              <w:autoSpaceDN w:val="0"/>
              <w:adjustRightInd w:val="0"/>
              <w:jc w:val="both"/>
              <w:rPr>
                <w:rFonts w:cs="FuturaLtBT"/>
              </w:rPr>
            </w:pPr>
            <w:r>
              <w:rPr>
                <w:rFonts w:cs="FuturaLtBT"/>
              </w:rPr>
              <w:lastRenderedPageBreak/>
              <w:t>In the case of Area</w:t>
            </w:r>
            <w:r w:rsidR="00746D3B">
              <w:rPr>
                <w:rFonts w:cs="FuturaLtBT"/>
              </w:rPr>
              <w:t>s</w:t>
            </w:r>
            <w:r>
              <w:rPr>
                <w:rFonts w:cs="FuturaLtBT"/>
              </w:rPr>
              <w:t xml:space="preserve"> 2 and 3, </w:t>
            </w:r>
            <w:r w:rsidR="00B56D21" w:rsidRPr="008321C4">
              <w:rPr>
                <w:rFonts w:cs="FuturaLtBT"/>
              </w:rPr>
              <w:t>B2 use</w:t>
            </w:r>
            <w:r w:rsidR="00746D3B">
              <w:rPr>
                <w:rFonts w:cs="FuturaLtBT"/>
              </w:rPr>
              <w:t xml:space="preserve">s will be considered acceptable </w:t>
            </w:r>
            <w:r w:rsidR="00B56D21" w:rsidRPr="008321C4">
              <w:rPr>
                <w:rFonts w:cs="FuturaLtBT"/>
              </w:rPr>
              <w:t>where they complement and support the B1 uses,</w:t>
            </w:r>
            <w:r w:rsidR="00746D3B">
              <w:rPr>
                <w:rFonts w:cs="FuturaLtBT"/>
              </w:rPr>
              <w:t xml:space="preserve"> and strengthen the role of the </w:t>
            </w:r>
            <w:r w:rsidR="00B56D21" w:rsidRPr="008321C4">
              <w:rPr>
                <w:rFonts w:cs="FuturaLtBT"/>
              </w:rPr>
              <w:t>new employment land a</w:t>
            </w:r>
            <w:r>
              <w:rPr>
                <w:rFonts w:cs="FuturaLtBT"/>
              </w:rPr>
              <w:t xml:space="preserve">s a high quality business park. </w:t>
            </w:r>
            <w:r w:rsidR="00B56D21" w:rsidRPr="008321C4">
              <w:rPr>
                <w:rFonts w:cs="FuturaLtBT"/>
              </w:rPr>
              <w:t xml:space="preserve">B1 and B2 developments </w:t>
            </w:r>
            <w:r>
              <w:rPr>
                <w:rFonts w:cs="FuturaLtBT"/>
              </w:rPr>
              <w:t xml:space="preserve">may be accompanied by ancillary </w:t>
            </w:r>
            <w:r w:rsidR="00B56D21" w:rsidRPr="008321C4">
              <w:rPr>
                <w:rFonts w:cs="FuturaLtBT"/>
              </w:rPr>
              <w:t>storage and distribution uses. Supporting non B1/B2 uses may be acceptable wh</w:t>
            </w:r>
            <w:r>
              <w:rPr>
                <w:rFonts w:cs="FuturaLtBT"/>
              </w:rPr>
              <w:t xml:space="preserve">ere it can be demonstrated that </w:t>
            </w:r>
            <w:r w:rsidR="00B56D21" w:rsidRPr="008321C4">
              <w:rPr>
                <w:rFonts w:cs="FuturaLtBT"/>
              </w:rPr>
              <w:t>these uses are necessary to support the operation and/or the requiremen</w:t>
            </w:r>
            <w:r>
              <w:rPr>
                <w:rFonts w:cs="FuturaLtBT"/>
              </w:rPr>
              <w:t xml:space="preserve">ts of </w:t>
            </w:r>
            <w:r w:rsidR="00B56D21" w:rsidRPr="008321C4">
              <w:rPr>
                <w:rFonts w:cs="FuturaLtBT"/>
              </w:rPr>
              <w:t>employees working in the business park.</w:t>
            </w:r>
          </w:p>
          <w:p w:rsidR="008122B6" w:rsidRDefault="008122B6" w:rsidP="00F60886">
            <w:pPr>
              <w:autoSpaceDE w:val="0"/>
              <w:autoSpaceDN w:val="0"/>
              <w:adjustRightInd w:val="0"/>
              <w:jc w:val="both"/>
              <w:rPr>
                <w:rFonts w:cs="FuturaLtBT"/>
              </w:rPr>
            </w:pPr>
          </w:p>
          <w:p w:rsidR="008122B6" w:rsidRPr="008321C4" w:rsidRDefault="008122B6" w:rsidP="00F60886">
            <w:pPr>
              <w:autoSpaceDE w:val="0"/>
              <w:autoSpaceDN w:val="0"/>
              <w:adjustRightInd w:val="0"/>
              <w:jc w:val="both"/>
              <w:rPr>
                <w:rFonts w:cs="FuturaLtBT"/>
              </w:rPr>
            </w:pPr>
            <w:r>
              <w:rPr>
                <w:rFonts w:cs="FuturaLtBT"/>
              </w:rPr>
              <w:t xml:space="preserve">The current proposals therefore fully align with the JAAP, which should assist to mitigate planning risk at this stage. </w:t>
            </w:r>
            <w:r w:rsidR="00B81A0D">
              <w:rPr>
                <w:rFonts w:cs="FuturaLtBT"/>
              </w:rPr>
              <w:t xml:space="preserve">The JAAP has been examined by an Inspector and found to be compliant with the NPPF and the scheme is therefore considered to be compliant with national planning policy. </w:t>
            </w:r>
            <w:r w:rsidR="00C07A63">
              <w:rPr>
                <w:rFonts w:cs="FuturaLtBT"/>
              </w:rPr>
              <w:t xml:space="preserve">As part of the JAAP development, the draft proposals underwent a full public and stakeholder consultation process through a variety of different approaches to maximise the ‘reach’ of this. Since the adoption of this, HBDL has continued to consult on the site masterplan with local Members, residents and businesses. The level of public and stakeholder support and ‘buy-in’ for the scheme is significant. </w:t>
            </w:r>
          </w:p>
          <w:p w:rsidR="00F67EF1" w:rsidRPr="00422CD7" w:rsidRDefault="00F67EF1" w:rsidP="00F67EF1">
            <w:pPr>
              <w:pStyle w:val="NoSpacing"/>
              <w:ind w:left="67"/>
              <w:rPr>
                <w:rFonts w:ascii="Calibri" w:hAnsi="Calibri"/>
                <w:b/>
                <w:i/>
              </w:rPr>
            </w:pPr>
          </w:p>
          <w:p w:rsidR="00F67EF1" w:rsidRDefault="00F67EF1" w:rsidP="00971654">
            <w:pPr>
              <w:pStyle w:val="NoSpacing"/>
              <w:rPr>
                <w:rFonts w:ascii="Calibri" w:hAnsi="Calibri"/>
                <w:b/>
                <w:i/>
              </w:rPr>
            </w:pPr>
            <w:r w:rsidRPr="00422CD7">
              <w:rPr>
                <w:rFonts w:ascii="Calibri" w:hAnsi="Calibri"/>
                <w:b/>
                <w:i/>
              </w:rPr>
              <w:t>Essex Economic Growth Strategy</w:t>
            </w:r>
            <w:r w:rsidR="00F60886">
              <w:rPr>
                <w:rFonts w:ascii="Calibri" w:hAnsi="Calibri"/>
                <w:b/>
                <w:i/>
              </w:rPr>
              <w:t xml:space="preserve"> (2012)</w:t>
            </w:r>
          </w:p>
          <w:p w:rsidR="00F60886" w:rsidRDefault="00F60886" w:rsidP="00971654">
            <w:pPr>
              <w:pStyle w:val="NoSpacing"/>
              <w:rPr>
                <w:rFonts w:ascii="Calibri" w:hAnsi="Calibri"/>
                <w:b/>
                <w:i/>
              </w:rPr>
            </w:pPr>
          </w:p>
          <w:p w:rsidR="00F60886" w:rsidRPr="0005183D" w:rsidRDefault="00F60886" w:rsidP="0005183D">
            <w:pPr>
              <w:pStyle w:val="NoSpacing"/>
              <w:jc w:val="both"/>
              <w:rPr>
                <w:rFonts w:ascii="Calibri" w:hAnsi="Calibri"/>
              </w:rPr>
            </w:pPr>
            <w:r w:rsidRPr="0005183D">
              <w:rPr>
                <w:rFonts w:ascii="Calibri" w:hAnsi="Calibri"/>
              </w:rPr>
              <w:t>This identifies London Southend Airport and its Environs as a ‘key</w:t>
            </w:r>
            <w:r w:rsidR="0005183D" w:rsidRPr="0005183D">
              <w:rPr>
                <w:rFonts w:ascii="Calibri" w:hAnsi="Calibri"/>
              </w:rPr>
              <w:t xml:space="preserve"> Essex</w:t>
            </w:r>
            <w:r w:rsidRPr="0005183D">
              <w:rPr>
                <w:rFonts w:ascii="Calibri" w:hAnsi="Calibri"/>
              </w:rPr>
              <w:t xml:space="preserve"> gateway location’</w:t>
            </w:r>
            <w:r w:rsidR="0005183D" w:rsidRPr="0005183D">
              <w:rPr>
                <w:rFonts w:ascii="Calibri" w:hAnsi="Calibri"/>
              </w:rPr>
              <w:t xml:space="preserve"> and recognises that </w:t>
            </w:r>
            <w:r w:rsidR="0005183D" w:rsidRPr="0005183D">
              <w:rPr>
                <w:bCs/>
              </w:rPr>
              <w:t xml:space="preserve">Southend </w:t>
            </w:r>
            <w:r w:rsidR="0005183D" w:rsidRPr="0005183D">
              <w:t>is the largest urban area in the Thames Gateway and the location of significant growth potential at London Southend Airport and the proposed Med Tech Campus.</w:t>
            </w:r>
          </w:p>
          <w:p w:rsidR="00F67EF1" w:rsidRPr="00422CD7" w:rsidRDefault="00F67EF1" w:rsidP="00F67EF1">
            <w:pPr>
              <w:pStyle w:val="NoSpacing"/>
              <w:ind w:left="67"/>
              <w:rPr>
                <w:rFonts w:ascii="Calibri" w:hAnsi="Calibri"/>
                <w:b/>
                <w:i/>
              </w:rPr>
            </w:pPr>
          </w:p>
          <w:p w:rsidR="00F67EF1" w:rsidRDefault="00F67EF1" w:rsidP="0005183D">
            <w:pPr>
              <w:pStyle w:val="NoSpacing"/>
              <w:rPr>
                <w:rFonts w:ascii="Calibri" w:hAnsi="Calibri"/>
                <w:b/>
                <w:i/>
              </w:rPr>
            </w:pPr>
            <w:r w:rsidRPr="00422CD7">
              <w:rPr>
                <w:rFonts w:ascii="Calibri" w:hAnsi="Calibri"/>
                <w:b/>
                <w:i/>
              </w:rPr>
              <w:t>Southend Economic Development Strategy</w:t>
            </w:r>
            <w:r w:rsidR="00746D3B">
              <w:rPr>
                <w:rFonts w:ascii="Calibri" w:hAnsi="Calibri"/>
                <w:b/>
                <w:i/>
              </w:rPr>
              <w:t xml:space="preserve"> (2010)</w:t>
            </w:r>
          </w:p>
          <w:p w:rsidR="00746D3B" w:rsidRDefault="00746D3B" w:rsidP="0005183D">
            <w:pPr>
              <w:pStyle w:val="NoSpacing"/>
              <w:rPr>
                <w:rFonts w:ascii="Calibri" w:hAnsi="Calibri"/>
                <w:b/>
                <w:i/>
              </w:rPr>
            </w:pPr>
          </w:p>
          <w:p w:rsidR="00746D3B" w:rsidRPr="00746D3B" w:rsidRDefault="00746D3B" w:rsidP="00746D3B">
            <w:pPr>
              <w:autoSpaceDE w:val="0"/>
              <w:autoSpaceDN w:val="0"/>
              <w:adjustRightInd w:val="0"/>
              <w:jc w:val="both"/>
              <w:rPr>
                <w:rFonts w:cs="Helvetica"/>
              </w:rPr>
            </w:pPr>
            <w:r>
              <w:rPr>
                <w:rFonts w:cs="Helvetica"/>
              </w:rPr>
              <w:t xml:space="preserve">This identifies a key objective to maximise the benefits </w:t>
            </w:r>
            <w:r w:rsidRPr="00746D3B">
              <w:rPr>
                <w:rFonts w:cs="Helvetica"/>
              </w:rPr>
              <w:t>around the development of</w:t>
            </w:r>
          </w:p>
          <w:p w:rsidR="00746D3B" w:rsidRPr="00746D3B" w:rsidRDefault="00746D3B" w:rsidP="00746D3B">
            <w:pPr>
              <w:autoSpaceDE w:val="0"/>
              <w:autoSpaceDN w:val="0"/>
              <w:adjustRightInd w:val="0"/>
              <w:jc w:val="both"/>
              <w:rPr>
                <w:rFonts w:cs="Helvetica"/>
              </w:rPr>
            </w:pPr>
            <w:r w:rsidRPr="00746D3B">
              <w:rPr>
                <w:rFonts w:cs="Helvetica-Bold"/>
                <w:bCs/>
              </w:rPr>
              <w:t xml:space="preserve">London Southend Airport. </w:t>
            </w:r>
            <w:r>
              <w:rPr>
                <w:rFonts w:cs="Helvetica"/>
              </w:rPr>
              <w:t xml:space="preserve">It suggests that it remains one of </w:t>
            </w:r>
            <w:r w:rsidRPr="00746D3B">
              <w:rPr>
                <w:rFonts w:cs="Helvetica"/>
              </w:rPr>
              <w:t>the most ex</w:t>
            </w:r>
            <w:r>
              <w:rPr>
                <w:rFonts w:cs="Helvetica"/>
              </w:rPr>
              <w:t xml:space="preserve">citing and potentially valuable </w:t>
            </w:r>
            <w:r w:rsidRPr="00746D3B">
              <w:rPr>
                <w:rFonts w:cs="Helvetica"/>
              </w:rPr>
              <w:t xml:space="preserve">elements of </w:t>
            </w:r>
            <w:r>
              <w:rPr>
                <w:rFonts w:cs="Helvetica"/>
              </w:rPr>
              <w:t xml:space="preserve">major infrastructure investment </w:t>
            </w:r>
            <w:r w:rsidRPr="00746D3B">
              <w:rPr>
                <w:rFonts w:cs="Helvetica"/>
              </w:rPr>
              <w:t>in Essex an</w:t>
            </w:r>
            <w:r>
              <w:rPr>
                <w:rFonts w:cs="Helvetica"/>
              </w:rPr>
              <w:t xml:space="preserve">d could provide a huge boost to </w:t>
            </w:r>
            <w:r w:rsidRPr="00746D3B">
              <w:rPr>
                <w:rFonts w:cs="Helvetica"/>
              </w:rPr>
              <w:t>the Southend economy.</w:t>
            </w:r>
          </w:p>
          <w:p w:rsidR="00746D3B" w:rsidRDefault="00746D3B" w:rsidP="0005183D">
            <w:pPr>
              <w:pStyle w:val="NoSpacing"/>
              <w:rPr>
                <w:rFonts w:ascii="Calibri" w:hAnsi="Calibri"/>
                <w:b/>
                <w:i/>
              </w:rPr>
            </w:pPr>
          </w:p>
          <w:p w:rsidR="00F67EF1" w:rsidRPr="00C7065D" w:rsidRDefault="00F67EF1" w:rsidP="00F67EF1">
            <w:pPr>
              <w:pStyle w:val="NoSpacing"/>
              <w:ind w:left="67"/>
            </w:pPr>
          </w:p>
        </w:tc>
      </w:tr>
      <w:tr w:rsidR="00FC53B9">
        <w:trPr>
          <w:trHeight w:val="1848"/>
        </w:trPr>
        <w:tc>
          <w:tcPr>
            <w:tcW w:w="2694" w:type="dxa"/>
            <w:shd w:val="clear" w:color="auto" w:fill="4BACC6" w:themeFill="accent5"/>
          </w:tcPr>
          <w:p w:rsidR="00FC53B9" w:rsidRPr="00685C6D" w:rsidRDefault="00FC53B9" w:rsidP="00B34F20">
            <w:pPr>
              <w:pStyle w:val="ListParagraph"/>
              <w:numPr>
                <w:ilvl w:val="1"/>
                <w:numId w:val="1"/>
              </w:numPr>
              <w:ind w:left="601" w:hanging="601"/>
              <w:rPr>
                <w:b/>
                <w:color w:val="FFFFFF" w:themeColor="background1"/>
              </w:rPr>
            </w:pPr>
            <w:r>
              <w:rPr>
                <w:b/>
                <w:color w:val="FFFFFF" w:themeColor="background1"/>
              </w:rPr>
              <w:lastRenderedPageBreak/>
              <w:t>Summary outputs (3.2 will contain more detail)</w:t>
            </w:r>
          </w:p>
        </w:tc>
        <w:tc>
          <w:tcPr>
            <w:tcW w:w="7796" w:type="dxa"/>
          </w:tcPr>
          <w:p w:rsidR="00FC53B9" w:rsidRDefault="00FC53B9" w:rsidP="00717D45">
            <w:pPr>
              <w:pStyle w:val="NoSpacing"/>
              <w:ind w:left="67"/>
            </w:pPr>
          </w:p>
          <w:p w:rsidR="005F5E51" w:rsidRDefault="005F5E51" w:rsidP="005F5E51">
            <w:pPr>
              <w:pStyle w:val="NoSpacing"/>
              <w:ind w:left="67"/>
              <w:jc w:val="both"/>
            </w:pPr>
            <w:r>
              <w:t>The proposed infrastructure works will unlock a phase 1 development scheme which could deliver the following outputs:</w:t>
            </w:r>
          </w:p>
          <w:p w:rsidR="005F5E51" w:rsidRDefault="005F5E51" w:rsidP="00717D45">
            <w:pPr>
              <w:pStyle w:val="NoSpacing"/>
              <w:ind w:left="67"/>
            </w:pPr>
          </w:p>
          <w:tbl>
            <w:tblPr>
              <w:tblStyle w:val="TableGrid"/>
              <w:tblW w:w="0" w:type="auto"/>
              <w:tblInd w:w="67" w:type="dxa"/>
              <w:tblLook w:val="04A0"/>
            </w:tblPr>
            <w:tblGrid>
              <w:gridCol w:w="1433"/>
              <w:gridCol w:w="1010"/>
              <w:gridCol w:w="1011"/>
              <w:gridCol w:w="1012"/>
              <w:gridCol w:w="1011"/>
              <w:gridCol w:w="1011"/>
              <w:gridCol w:w="1015"/>
            </w:tblGrid>
            <w:tr w:rsidR="00236CA6" w:rsidTr="005F5E51">
              <w:tc>
                <w:tcPr>
                  <w:tcW w:w="1307" w:type="dxa"/>
                  <w:shd w:val="clear" w:color="auto" w:fill="D9D9D9" w:themeFill="background1" w:themeFillShade="D9"/>
                </w:tcPr>
                <w:p w:rsidR="00236CA6" w:rsidRDefault="00236CA6" w:rsidP="00717D45">
                  <w:pPr>
                    <w:pStyle w:val="NoSpacing"/>
                  </w:pPr>
                </w:p>
              </w:tc>
              <w:tc>
                <w:tcPr>
                  <w:tcW w:w="1014" w:type="dxa"/>
                  <w:shd w:val="clear" w:color="auto" w:fill="D9D9D9" w:themeFill="background1" w:themeFillShade="D9"/>
                </w:tcPr>
                <w:p w:rsidR="00236CA6" w:rsidRPr="00236CA6" w:rsidRDefault="00236CA6" w:rsidP="00717D45">
                  <w:pPr>
                    <w:pStyle w:val="NoSpacing"/>
                    <w:rPr>
                      <w:b/>
                    </w:rPr>
                  </w:pPr>
                  <w:r w:rsidRPr="00236CA6">
                    <w:rPr>
                      <w:b/>
                    </w:rPr>
                    <w:t>16/17</w:t>
                  </w:r>
                </w:p>
              </w:tc>
              <w:tc>
                <w:tcPr>
                  <w:tcW w:w="1015" w:type="dxa"/>
                  <w:shd w:val="clear" w:color="auto" w:fill="D9D9D9" w:themeFill="background1" w:themeFillShade="D9"/>
                </w:tcPr>
                <w:p w:rsidR="00236CA6" w:rsidRPr="00236CA6" w:rsidRDefault="00236CA6" w:rsidP="00717D45">
                  <w:pPr>
                    <w:pStyle w:val="NoSpacing"/>
                    <w:rPr>
                      <w:b/>
                    </w:rPr>
                  </w:pPr>
                  <w:r w:rsidRPr="00236CA6">
                    <w:rPr>
                      <w:b/>
                    </w:rPr>
                    <w:t>17/18</w:t>
                  </w:r>
                </w:p>
              </w:tc>
              <w:tc>
                <w:tcPr>
                  <w:tcW w:w="1015" w:type="dxa"/>
                  <w:shd w:val="clear" w:color="auto" w:fill="D9D9D9" w:themeFill="background1" w:themeFillShade="D9"/>
                </w:tcPr>
                <w:p w:rsidR="00236CA6" w:rsidRPr="00236CA6" w:rsidRDefault="00236CA6" w:rsidP="00717D45">
                  <w:pPr>
                    <w:pStyle w:val="NoSpacing"/>
                    <w:rPr>
                      <w:b/>
                    </w:rPr>
                  </w:pPr>
                  <w:r w:rsidRPr="00236CA6">
                    <w:rPr>
                      <w:b/>
                    </w:rPr>
                    <w:t>18/19</w:t>
                  </w:r>
                </w:p>
              </w:tc>
              <w:tc>
                <w:tcPr>
                  <w:tcW w:w="1015" w:type="dxa"/>
                  <w:shd w:val="clear" w:color="auto" w:fill="D9D9D9" w:themeFill="background1" w:themeFillShade="D9"/>
                </w:tcPr>
                <w:p w:rsidR="00236CA6" w:rsidRPr="00236CA6" w:rsidRDefault="00236CA6" w:rsidP="00717D45">
                  <w:pPr>
                    <w:pStyle w:val="NoSpacing"/>
                    <w:rPr>
                      <w:b/>
                    </w:rPr>
                  </w:pPr>
                  <w:r w:rsidRPr="00236CA6">
                    <w:rPr>
                      <w:b/>
                    </w:rPr>
                    <w:t>19/20</w:t>
                  </w:r>
                </w:p>
              </w:tc>
              <w:tc>
                <w:tcPr>
                  <w:tcW w:w="1015" w:type="dxa"/>
                  <w:shd w:val="clear" w:color="auto" w:fill="D9D9D9" w:themeFill="background1" w:themeFillShade="D9"/>
                </w:tcPr>
                <w:p w:rsidR="00236CA6" w:rsidRPr="00236CA6" w:rsidRDefault="00236CA6" w:rsidP="00717D45">
                  <w:pPr>
                    <w:pStyle w:val="NoSpacing"/>
                    <w:rPr>
                      <w:b/>
                    </w:rPr>
                  </w:pPr>
                  <w:r w:rsidRPr="00236CA6">
                    <w:rPr>
                      <w:b/>
                    </w:rPr>
                    <w:t>20/21</w:t>
                  </w:r>
                </w:p>
              </w:tc>
              <w:tc>
                <w:tcPr>
                  <w:tcW w:w="1018" w:type="dxa"/>
                  <w:shd w:val="clear" w:color="auto" w:fill="D9D9D9" w:themeFill="background1" w:themeFillShade="D9"/>
                </w:tcPr>
                <w:p w:rsidR="00236CA6" w:rsidRPr="00236CA6" w:rsidRDefault="00236CA6" w:rsidP="00717D45">
                  <w:pPr>
                    <w:pStyle w:val="NoSpacing"/>
                    <w:rPr>
                      <w:b/>
                    </w:rPr>
                  </w:pPr>
                  <w:r w:rsidRPr="00236CA6">
                    <w:rPr>
                      <w:b/>
                    </w:rPr>
                    <w:t>Totals</w:t>
                  </w:r>
                </w:p>
              </w:tc>
            </w:tr>
            <w:tr w:rsidR="00236CA6" w:rsidTr="002B7776">
              <w:tc>
                <w:tcPr>
                  <w:tcW w:w="1307" w:type="dxa"/>
                </w:tcPr>
                <w:p w:rsidR="00236CA6" w:rsidRPr="00236CA6" w:rsidRDefault="002B7776" w:rsidP="00717D45">
                  <w:pPr>
                    <w:pStyle w:val="NoSpacing"/>
                    <w:rPr>
                      <w:b/>
                    </w:rPr>
                  </w:pPr>
                  <w:r>
                    <w:rPr>
                      <w:b/>
                    </w:rPr>
                    <w:t>Commercial floorspace (sqm)</w:t>
                  </w:r>
                </w:p>
              </w:tc>
              <w:tc>
                <w:tcPr>
                  <w:tcW w:w="1014" w:type="dxa"/>
                </w:tcPr>
                <w:p w:rsidR="00236CA6" w:rsidRDefault="00236CA6" w:rsidP="00717D45">
                  <w:pPr>
                    <w:pStyle w:val="NoSpacing"/>
                  </w:pPr>
                </w:p>
              </w:tc>
              <w:tc>
                <w:tcPr>
                  <w:tcW w:w="1015" w:type="dxa"/>
                </w:tcPr>
                <w:p w:rsidR="00236CA6" w:rsidRDefault="0004498A" w:rsidP="00717D45">
                  <w:pPr>
                    <w:pStyle w:val="NoSpacing"/>
                  </w:pPr>
                  <w:r>
                    <w:t>2,348</w:t>
                  </w:r>
                </w:p>
              </w:tc>
              <w:tc>
                <w:tcPr>
                  <w:tcW w:w="1015" w:type="dxa"/>
                </w:tcPr>
                <w:p w:rsidR="00236CA6" w:rsidRDefault="0004498A" w:rsidP="00717D45">
                  <w:pPr>
                    <w:pStyle w:val="NoSpacing"/>
                  </w:pPr>
                  <w:r>
                    <w:t>10,268</w:t>
                  </w:r>
                </w:p>
              </w:tc>
              <w:tc>
                <w:tcPr>
                  <w:tcW w:w="1015" w:type="dxa"/>
                </w:tcPr>
                <w:p w:rsidR="00236CA6" w:rsidRDefault="0004498A" w:rsidP="00717D45">
                  <w:pPr>
                    <w:pStyle w:val="NoSpacing"/>
                  </w:pPr>
                  <w:r>
                    <w:t>3,852</w:t>
                  </w:r>
                </w:p>
              </w:tc>
              <w:tc>
                <w:tcPr>
                  <w:tcW w:w="1015" w:type="dxa"/>
                </w:tcPr>
                <w:p w:rsidR="00236CA6" w:rsidRDefault="0004498A" w:rsidP="00717D45">
                  <w:pPr>
                    <w:pStyle w:val="NoSpacing"/>
                  </w:pPr>
                  <w:r>
                    <w:t>5,943</w:t>
                  </w:r>
                </w:p>
              </w:tc>
              <w:tc>
                <w:tcPr>
                  <w:tcW w:w="1018" w:type="dxa"/>
                </w:tcPr>
                <w:p w:rsidR="00236CA6" w:rsidRDefault="0004498A" w:rsidP="00717D45">
                  <w:pPr>
                    <w:pStyle w:val="NoSpacing"/>
                  </w:pPr>
                  <w:r>
                    <w:t>22,410</w:t>
                  </w:r>
                </w:p>
              </w:tc>
            </w:tr>
            <w:tr w:rsidR="00236CA6" w:rsidTr="002B7776">
              <w:tc>
                <w:tcPr>
                  <w:tcW w:w="1307" w:type="dxa"/>
                </w:tcPr>
                <w:p w:rsidR="00236CA6" w:rsidRPr="00236CA6" w:rsidRDefault="005F5E51" w:rsidP="00717D45">
                  <w:pPr>
                    <w:pStyle w:val="NoSpacing"/>
                    <w:rPr>
                      <w:b/>
                    </w:rPr>
                  </w:pPr>
                  <w:r>
                    <w:rPr>
                      <w:b/>
                    </w:rPr>
                    <w:t xml:space="preserve">Gross </w:t>
                  </w:r>
                  <w:r w:rsidR="002B7776">
                    <w:rPr>
                      <w:b/>
                    </w:rPr>
                    <w:t>Jobs (non</w:t>
                  </w:r>
                  <w:r>
                    <w:rPr>
                      <w:b/>
                    </w:rPr>
                    <w:t>-</w:t>
                  </w:r>
                  <w:r w:rsidR="002B7776">
                    <w:rPr>
                      <w:b/>
                    </w:rPr>
                    <w:t xml:space="preserve"> construction)</w:t>
                  </w:r>
                  <w:r>
                    <w:rPr>
                      <w:b/>
                    </w:rPr>
                    <w:t xml:space="preserve"> (with 10% running void)</w:t>
                  </w:r>
                </w:p>
              </w:tc>
              <w:tc>
                <w:tcPr>
                  <w:tcW w:w="1014" w:type="dxa"/>
                </w:tcPr>
                <w:p w:rsidR="00236CA6" w:rsidRDefault="00236CA6" w:rsidP="00717D45">
                  <w:pPr>
                    <w:pStyle w:val="NoSpacing"/>
                  </w:pPr>
                </w:p>
              </w:tc>
              <w:tc>
                <w:tcPr>
                  <w:tcW w:w="1015" w:type="dxa"/>
                </w:tcPr>
                <w:p w:rsidR="00236CA6" w:rsidRDefault="0004498A" w:rsidP="00717D45">
                  <w:pPr>
                    <w:pStyle w:val="NoSpacing"/>
                  </w:pPr>
                  <w:r>
                    <w:t>141</w:t>
                  </w:r>
                </w:p>
              </w:tc>
              <w:tc>
                <w:tcPr>
                  <w:tcW w:w="1015" w:type="dxa"/>
                </w:tcPr>
                <w:p w:rsidR="00236CA6" w:rsidRDefault="0092334B" w:rsidP="00207873">
                  <w:pPr>
                    <w:pStyle w:val="NoSpacing"/>
                  </w:pPr>
                  <w:r>
                    <w:t>3</w:t>
                  </w:r>
                  <w:r w:rsidR="00207873">
                    <w:t>56</w:t>
                  </w:r>
                </w:p>
              </w:tc>
              <w:tc>
                <w:tcPr>
                  <w:tcW w:w="1015" w:type="dxa"/>
                </w:tcPr>
                <w:p w:rsidR="00236CA6" w:rsidRDefault="0004498A" w:rsidP="00717D45">
                  <w:pPr>
                    <w:pStyle w:val="NoSpacing"/>
                  </w:pPr>
                  <w:r>
                    <w:t>231</w:t>
                  </w:r>
                </w:p>
              </w:tc>
              <w:tc>
                <w:tcPr>
                  <w:tcW w:w="1015" w:type="dxa"/>
                </w:tcPr>
                <w:p w:rsidR="00236CA6" w:rsidRDefault="0004498A" w:rsidP="00717D45">
                  <w:pPr>
                    <w:pStyle w:val="NoSpacing"/>
                  </w:pPr>
                  <w:r>
                    <w:t>357</w:t>
                  </w:r>
                </w:p>
              </w:tc>
              <w:tc>
                <w:tcPr>
                  <w:tcW w:w="1018" w:type="dxa"/>
                </w:tcPr>
                <w:p w:rsidR="00236CA6" w:rsidRDefault="0092334B" w:rsidP="00207873">
                  <w:pPr>
                    <w:pStyle w:val="NoSpacing"/>
                  </w:pPr>
                  <w:r>
                    <w:t>1,</w:t>
                  </w:r>
                  <w:r w:rsidR="00207873">
                    <w:t>084</w:t>
                  </w:r>
                </w:p>
              </w:tc>
            </w:tr>
            <w:tr w:rsidR="005F5E51" w:rsidTr="002B7776">
              <w:tc>
                <w:tcPr>
                  <w:tcW w:w="1307" w:type="dxa"/>
                </w:tcPr>
                <w:p w:rsidR="005F5E51" w:rsidRDefault="005F5E51" w:rsidP="00717D45">
                  <w:pPr>
                    <w:pStyle w:val="NoSpacing"/>
                    <w:rPr>
                      <w:b/>
                    </w:rPr>
                  </w:pPr>
                  <w:r>
                    <w:rPr>
                      <w:b/>
                    </w:rPr>
                    <w:t>Net Additional Jobs (non-construction)</w:t>
                  </w:r>
                </w:p>
              </w:tc>
              <w:tc>
                <w:tcPr>
                  <w:tcW w:w="1014" w:type="dxa"/>
                </w:tcPr>
                <w:p w:rsidR="005F5E51" w:rsidRDefault="005F5E51" w:rsidP="00717D45">
                  <w:pPr>
                    <w:pStyle w:val="NoSpacing"/>
                  </w:pPr>
                </w:p>
              </w:tc>
              <w:tc>
                <w:tcPr>
                  <w:tcW w:w="1015" w:type="dxa"/>
                </w:tcPr>
                <w:p w:rsidR="005F5E51" w:rsidRDefault="0004498A" w:rsidP="00717D45">
                  <w:pPr>
                    <w:pStyle w:val="NoSpacing"/>
                  </w:pPr>
                  <w:r>
                    <w:t>98</w:t>
                  </w:r>
                </w:p>
              </w:tc>
              <w:tc>
                <w:tcPr>
                  <w:tcW w:w="1015" w:type="dxa"/>
                </w:tcPr>
                <w:p w:rsidR="005F5E51" w:rsidRDefault="0092334B" w:rsidP="00207873">
                  <w:pPr>
                    <w:pStyle w:val="NoSpacing"/>
                  </w:pPr>
                  <w:r>
                    <w:t>2</w:t>
                  </w:r>
                  <w:r w:rsidR="00207873">
                    <w:t>37</w:t>
                  </w:r>
                </w:p>
              </w:tc>
              <w:tc>
                <w:tcPr>
                  <w:tcW w:w="1015" w:type="dxa"/>
                </w:tcPr>
                <w:p w:rsidR="005F5E51" w:rsidRDefault="0004498A" w:rsidP="00717D45">
                  <w:pPr>
                    <w:pStyle w:val="NoSpacing"/>
                  </w:pPr>
                  <w:r>
                    <w:t>160</w:t>
                  </w:r>
                </w:p>
              </w:tc>
              <w:tc>
                <w:tcPr>
                  <w:tcW w:w="1015" w:type="dxa"/>
                </w:tcPr>
                <w:p w:rsidR="005F5E51" w:rsidRDefault="0004498A" w:rsidP="00717D45">
                  <w:pPr>
                    <w:pStyle w:val="NoSpacing"/>
                  </w:pPr>
                  <w:r>
                    <w:t>247</w:t>
                  </w:r>
                </w:p>
              </w:tc>
              <w:tc>
                <w:tcPr>
                  <w:tcW w:w="1018" w:type="dxa"/>
                </w:tcPr>
                <w:p w:rsidR="005F5E51" w:rsidRDefault="00207873" w:rsidP="00717D45">
                  <w:pPr>
                    <w:pStyle w:val="NoSpacing"/>
                  </w:pPr>
                  <w:r>
                    <w:t>742</w:t>
                  </w:r>
                </w:p>
              </w:tc>
            </w:tr>
            <w:tr w:rsidR="005F5E51" w:rsidTr="002B7776">
              <w:tc>
                <w:tcPr>
                  <w:tcW w:w="1307" w:type="dxa"/>
                </w:tcPr>
                <w:p w:rsidR="005F5E51" w:rsidRDefault="005F5E51" w:rsidP="00717D45">
                  <w:pPr>
                    <w:pStyle w:val="NoSpacing"/>
                    <w:rPr>
                      <w:b/>
                    </w:rPr>
                  </w:pPr>
                  <w:r>
                    <w:rPr>
                      <w:b/>
                    </w:rPr>
                    <w:t xml:space="preserve">Net Additional GVA (non-construction) </w:t>
                  </w:r>
                  <w:r>
                    <w:rPr>
                      <w:b/>
                    </w:rPr>
                    <w:lastRenderedPageBreak/>
                    <w:t>(discounted over 10 year period)</w:t>
                  </w:r>
                </w:p>
              </w:tc>
              <w:tc>
                <w:tcPr>
                  <w:tcW w:w="1014" w:type="dxa"/>
                </w:tcPr>
                <w:p w:rsidR="005F5E51" w:rsidRDefault="005F5E51" w:rsidP="00717D45">
                  <w:pPr>
                    <w:pStyle w:val="NoSpacing"/>
                  </w:pPr>
                </w:p>
              </w:tc>
              <w:tc>
                <w:tcPr>
                  <w:tcW w:w="1015" w:type="dxa"/>
                </w:tcPr>
                <w:p w:rsidR="005F5E51" w:rsidRDefault="005F5E51" w:rsidP="00717D45">
                  <w:pPr>
                    <w:pStyle w:val="NoSpacing"/>
                  </w:pPr>
                </w:p>
              </w:tc>
              <w:tc>
                <w:tcPr>
                  <w:tcW w:w="1015" w:type="dxa"/>
                </w:tcPr>
                <w:p w:rsidR="005F5E51" w:rsidRDefault="005F5E51" w:rsidP="00717D45">
                  <w:pPr>
                    <w:pStyle w:val="NoSpacing"/>
                  </w:pPr>
                </w:p>
              </w:tc>
              <w:tc>
                <w:tcPr>
                  <w:tcW w:w="1015" w:type="dxa"/>
                </w:tcPr>
                <w:p w:rsidR="005F5E51" w:rsidRDefault="005F5E51" w:rsidP="00717D45">
                  <w:pPr>
                    <w:pStyle w:val="NoSpacing"/>
                  </w:pPr>
                </w:p>
              </w:tc>
              <w:tc>
                <w:tcPr>
                  <w:tcW w:w="1015" w:type="dxa"/>
                </w:tcPr>
                <w:p w:rsidR="005F5E51" w:rsidRDefault="005F5E51" w:rsidP="00717D45">
                  <w:pPr>
                    <w:pStyle w:val="NoSpacing"/>
                  </w:pPr>
                </w:p>
              </w:tc>
              <w:tc>
                <w:tcPr>
                  <w:tcW w:w="1018" w:type="dxa"/>
                </w:tcPr>
                <w:p w:rsidR="005F5E51" w:rsidRDefault="00207873" w:rsidP="00717D45">
                  <w:pPr>
                    <w:pStyle w:val="NoSpacing"/>
                  </w:pPr>
                  <w:r>
                    <w:t>£372</w:t>
                  </w:r>
                  <w:r w:rsidR="0004498A">
                    <w:t>m</w:t>
                  </w:r>
                </w:p>
              </w:tc>
            </w:tr>
          </w:tbl>
          <w:p w:rsidR="00FC53B9" w:rsidRDefault="00FC53B9" w:rsidP="00717D45">
            <w:pPr>
              <w:pStyle w:val="NoSpacing"/>
              <w:ind w:left="67"/>
            </w:pPr>
          </w:p>
          <w:p w:rsidR="00E17CFD" w:rsidRPr="00C7065D" w:rsidRDefault="00E17CFD" w:rsidP="002B7776">
            <w:pPr>
              <w:pStyle w:val="NoSpacing"/>
              <w:ind w:left="67"/>
            </w:pPr>
          </w:p>
        </w:tc>
      </w:tr>
      <w:tr w:rsidR="004C543F">
        <w:tc>
          <w:tcPr>
            <w:tcW w:w="2694" w:type="dxa"/>
            <w:shd w:val="clear" w:color="auto" w:fill="4BACC6" w:themeFill="accent5"/>
          </w:tcPr>
          <w:p w:rsidR="004C543F" w:rsidRDefault="00770FFB" w:rsidP="00B34F20">
            <w:pPr>
              <w:pStyle w:val="ListParagraph"/>
              <w:numPr>
                <w:ilvl w:val="1"/>
                <w:numId w:val="1"/>
              </w:numPr>
              <w:ind w:left="601" w:hanging="601"/>
              <w:rPr>
                <w:b/>
                <w:color w:val="FFFFFF" w:themeColor="background1"/>
              </w:rPr>
            </w:pPr>
            <w:r w:rsidRPr="00685C6D">
              <w:rPr>
                <w:b/>
                <w:color w:val="FFFFFF" w:themeColor="background1"/>
              </w:rPr>
              <w:lastRenderedPageBreak/>
              <w:t>Planning policy context</w:t>
            </w:r>
            <w:r w:rsidR="00717D45">
              <w:rPr>
                <w:b/>
                <w:color w:val="FFFFFF" w:themeColor="background1"/>
              </w:rPr>
              <w:t xml:space="preserve"> and permissions</w:t>
            </w:r>
          </w:p>
          <w:p w:rsidR="00717D45" w:rsidRPr="00685C6D" w:rsidRDefault="00717D45" w:rsidP="00B34F20">
            <w:pPr>
              <w:pStyle w:val="ListParagraph"/>
              <w:ind w:left="601" w:hanging="601"/>
              <w:rPr>
                <w:b/>
                <w:color w:val="FFFFFF" w:themeColor="background1"/>
              </w:rPr>
            </w:pPr>
          </w:p>
        </w:tc>
        <w:tc>
          <w:tcPr>
            <w:tcW w:w="7796" w:type="dxa"/>
          </w:tcPr>
          <w:p w:rsidR="007D13FB" w:rsidRPr="00D93A0A" w:rsidRDefault="009D6DDE" w:rsidP="00512B41">
            <w:pPr>
              <w:ind w:left="67"/>
              <w:jc w:val="both"/>
              <w:rPr>
                <w:rFonts w:cs="Arial"/>
              </w:rPr>
            </w:pPr>
            <w:r w:rsidRPr="00512B41">
              <w:t xml:space="preserve">As outlined above, </w:t>
            </w:r>
            <w:r w:rsidRPr="00512B41">
              <w:rPr>
                <w:rFonts w:cs="Arial"/>
              </w:rPr>
              <w:t>the London Southend Airport and Environs Joint Area Action Plan (</w:t>
            </w:r>
            <w:r w:rsidRPr="00D93A0A">
              <w:rPr>
                <w:rFonts w:cs="Arial"/>
              </w:rPr>
              <w:t xml:space="preserve">JAAP) was formally adopted by Rochford District and Southend Borough Councils on 16 December 2014. The JAAP provides a planning policy framework to manage/guide growth and development around the Airport and establishes a number of key development and design principles. The scheme that has been developed fully aligns with the principles and objectives of the JAAP, which provides it with increased planning certainty. </w:t>
            </w:r>
          </w:p>
          <w:p w:rsidR="009D6DDE" w:rsidRPr="00D93A0A" w:rsidRDefault="009D6DDE" w:rsidP="00512B41">
            <w:pPr>
              <w:ind w:left="67"/>
              <w:jc w:val="both"/>
            </w:pPr>
          </w:p>
          <w:p w:rsidR="009D6DDE" w:rsidRPr="00D93A0A" w:rsidRDefault="009D6DDE" w:rsidP="00512B41">
            <w:pPr>
              <w:ind w:left="67"/>
              <w:jc w:val="both"/>
            </w:pPr>
            <w:r w:rsidRPr="00D93A0A">
              <w:t>Since the adoption of the JAAP,</w:t>
            </w:r>
            <w:r w:rsidR="00EE623D" w:rsidRPr="00D93A0A">
              <w:t xml:space="preserve"> HBDL submitted</w:t>
            </w:r>
            <w:r w:rsidRPr="00D93A0A">
              <w:t xml:space="preserve"> two planning applications </w:t>
            </w:r>
            <w:r w:rsidR="008122B6">
              <w:t xml:space="preserve">to </w:t>
            </w:r>
            <w:r w:rsidRPr="00D93A0A">
              <w:t>Rochford District Council in October 2015</w:t>
            </w:r>
            <w:r w:rsidR="00EE623D" w:rsidRPr="00D93A0A">
              <w:t>. These</w:t>
            </w:r>
            <w:r w:rsidRPr="00D93A0A">
              <w:t xml:space="preserve"> are currently under consideration, expected to go to planning committee for decision in either January or February 2016. </w:t>
            </w:r>
            <w:r w:rsidR="00EE623D" w:rsidRPr="00D93A0A">
              <w:t>These are both ‘hybrid</w:t>
            </w:r>
            <w:r w:rsidR="009124DB" w:rsidRPr="00D93A0A">
              <w:t xml:space="preserve">’ applications as below, one of which relates to the business park site and one to the adjacent site for the relocation of the rugby club. </w:t>
            </w:r>
            <w:r w:rsidR="00D93A0A">
              <w:t xml:space="preserve">If approved, these will mean that the phase 1 scheme as proposed has detailed planning consent and is ready to go. </w:t>
            </w:r>
          </w:p>
          <w:p w:rsidR="00EE623D" w:rsidRPr="00D93A0A" w:rsidRDefault="00EE623D" w:rsidP="00512B41">
            <w:pPr>
              <w:ind w:left="67"/>
              <w:jc w:val="both"/>
            </w:pPr>
          </w:p>
          <w:p w:rsidR="009124DB" w:rsidRPr="00D93A0A" w:rsidRDefault="00EE623D" w:rsidP="009124DB">
            <w:pPr>
              <w:pStyle w:val="ListParagraph"/>
              <w:numPr>
                <w:ilvl w:val="0"/>
                <w:numId w:val="25"/>
              </w:numPr>
              <w:jc w:val="both"/>
              <w:rPr>
                <w:rFonts w:cs="Arial"/>
              </w:rPr>
            </w:pPr>
            <w:r w:rsidRPr="00D93A0A">
              <w:t xml:space="preserve">Planning reference </w:t>
            </w:r>
            <w:r w:rsidRPr="00D93A0A">
              <w:rPr>
                <w:rFonts w:cs="Arial"/>
              </w:rPr>
              <w:t>15/00781/OUT - Land East Of Rugby Club, Aviation Way, Rochford, Essex</w:t>
            </w:r>
            <w:r w:rsidR="009124DB" w:rsidRPr="00D93A0A">
              <w:rPr>
                <w:rFonts w:cs="Arial"/>
              </w:rPr>
              <w:t>:</w:t>
            </w:r>
          </w:p>
          <w:p w:rsidR="009124DB" w:rsidRPr="008122B6" w:rsidRDefault="009124DB" w:rsidP="009124DB">
            <w:pPr>
              <w:pStyle w:val="ListParagraph"/>
              <w:ind w:left="427"/>
              <w:jc w:val="both"/>
              <w:rPr>
                <w:rFonts w:cs="Arial"/>
                <w:i/>
              </w:rPr>
            </w:pPr>
          </w:p>
          <w:p w:rsidR="00EE623D" w:rsidRPr="008122B6" w:rsidRDefault="00EE623D" w:rsidP="009124DB">
            <w:pPr>
              <w:pStyle w:val="ListParagraph"/>
              <w:ind w:left="427"/>
              <w:jc w:val="both"/>
              <w:rPr>
                <w:rFonts w:cs="Arial"/>
                <w:i/>
              </w:rPr>
            </w:pPr>
            <w:r w:rsidRPr="008122B6">
              <w:rPr>
                <w:rFonts w:cs="Arial"/>
                <w:i/>
              </w:rPr>
              <w:t>Outline Application With All Matters Reserved Apart From Access To The Site Off Cherry Orchard Way To Create A Business Park To Comprise Use Classes B1 (Business), B2 (General Industrial) And Ancillary Uses To Include A1 (Retail), A3 (Restaurants/Cafes), A4 (Drinking Establishments), C1 (Hotel), D1 (Non-Residential Institutions), D2 (Assembly And Leisure) And B8 (Storage And Distribution). Provide Hard And Soft Landscaping And Demolition Of Existing Rugby Club And Associated Works</w:t>
            </w:r>
            <w:r w:rsidR="00D33A4A">
              <w:rPr>
                <w:rFonts w:cs="Arial"/>
                <w:i/>
              </w:rPr>
              <w:t>.</w:t>
            </w:r>
          </w:p>
          <w:p w:rsidR="009D6DDE" w:rsidRPr="00D93A0A" w:rsidRDefault="009D6DDE" w:rsidP="00512B41">
            <w:pPr>
              <w:ind w:left="67"/>
              <w:jc w:val="both"/>
            </w:pPr>
          </w:p>
          <w:p w:rsidR="009124DB" w:rsidRPr="00D93A0A" w:rsidRDefault="00EE623D" w:rsidP="009124DB">
            <w:pPr>
              <w:pStyle w:val="ListParagraph"/>
              <w:numPr>
                <w:ilvl w:val="0"/>
                <w:numId w:val="25"/>
              </w:numPr>
              <w:jc w:val="both"/>
              <w:rPr>
                <w:rFonts w:cs="Arial"/>
              </w:rPr>
            </w:pPr>
            <w:r w:rsidRPr="00D93A0A">
              <w:rPr>
                <w:rFonts w:cs="Arial"/>
              </w:rPr>
              <w:t>Planning reference 15/00776/OUT- Land Rear Of Cherry Orchard Brickworks, Cherry Orchard Lane, Rochford, Essex</w:t>
            </w:r>
          </w:p>
          <w:p w:rsidR="009124DB" w:rsidRPr="00D93A0A" w:rsidRDefault="009124DB" w:rsidP="009124DB">
            <w:pPr>
              <w:pStyle w:val="ListParagraph"/>
              <w:ind w:left="427"/>
              <w:jc w:val="both"/>
              <w:rPr>
                <w:rFonts w:cs="Arial"/>
              </w:rPr>
            </w:pPr>
          </w:p>
          <w:p w:rsidR="00EE623D" w:rsidRPr="008122B6" w:rsidRDefault="00EE623D" w:rsidP="009124DB">
            <w:pPr>
              <w:pStyle w:val="ListParagraph"/>
              <w:ind w:left="427"/>
              <w:jc w:val="both"/>
              <w:rPr>
                <w:rFonts w:cs="Arial"/>
                <w:i/>
              </w:rPr>
            </w:pPr>
            <w:r w:rsidRPr="008122B6">
              <w:rPr>
                <w:rFonts w:cs="Arial"/>
                <w:i/>
              </w:rPr>
              <w:t>Outline Planning Permission With All Matters Reserved Apart From Access To The Site For The Provision Of A Rugby Club, Associated Pitches And Facilities With Submission Of Full Details For Vehicular Access To The Site And Pitches</w:t>
            </w:r>
            <w:r w:rsidR="00D33A4A">
              <w:rPr>
                <w:rFonts w:cs="Arial"/>
                <w:i/>
              </w:rPr>
              <w:t>.</w:t>
            </w:r>
          </w:p>
          <w:p w:rsidR="00D93A0A" w:rsidRPr="00D93A0A" w:rsidRDefault="00D93A0A" w:rsidP="009124DB">
            <w:pPr>
              <w:pStyle w:val="ListParagraph"/>
              <w:ind w:left="427"/>
              <w:jc w:val="both"/>
              <w:rPr>
                <w:rFonts w:cs="Arial"/>
              </w:rPr>
            </w:pPr>
          </w:p>
          <w:p w:rsidR="00244B55" w:rsidRDefault="00244B55" w:rsidP="00244B55">
            <w:pPr>
              <w:jc w:val="both"/>
              <w:rPr>
                <w:rFonts w:cs="Arial"/>
              </w:rPr>
            </w:pPr>
            <w:r>
              <w:rPr>
                <w:rFonts w:cs="Arial"/>
              </w:rPr>
              <w:t xml:space="preserve">The Council has recently served notice to its tenant to recover the land identified for the relocated rugby club and this will be completed by February 2016. </w:t>
            </w:r>
          </w:p>
          <w:p w:rsidR="00244B55" w:rsidRDefault="00244B55" w:rsidP="00244B55">
            <w:pPr>
              <w:jc w:val="both"/>
              <w:rPr>
                <w:rFonts w:cs="Arial"/>
              </w:rPr>
            </w:pPr>
          </w:p>
          <w:p w:rsidR="00D93A0A" w:rsidRPr="00D93A0A" w:rsidRDefault="00D93A0A" w:rsidP="00244B55">
            <w:pPr>
              <w:jc w:val="both"/>
              <w:rPr>
                <w:rFonts w:cs="Arial"/>
                <w:color w:val="333333"/>
              </w:rPr>
            </w:pPr>
            <w:r w:rsidRPr="00D93A0A">
              <w:rPr>
                <w:rFonts w:cs="Arial"/>
              </w:rPr>
              <w:t>Although there inevitably remains a degree of planning risk</w:t>
            </w:r>
            <w:r w:rsidR="00244B55">
              <w:rPr>
                <w:rFonts w:cs="Arial"/>
              </w:rPr>
              <w:t xml:space="preserve"> until a decision in early 2016, </w:t>
            </w:r>
            <w:r w:rsidRPr="00D93A0A">
              <w:rPr>
                <w:rFonts w:cs="Arial"/>
              </w:rPr>
              <w:t xml:space="preserve">this risk is mitigated by the fact that the applications are fully in accordance with the JAAP which has already been endorsed by both Councils and been through an </w:t>
            </w:r>
            <w:r w:rsidR="00D33A4A">
              <w:rPr>
                <w:rFonts w:cs="Arial"/>
              </w:rPr>
              <w:t xml:space="preserve">Examination in Public (EiP). </w:t>
            </w:r>
            <w:r w:rsidRPr="00D93A0A">
              <w:rPr>
                <w:rFonts w:cs="Arial"/>
              </w:rPr>
              <w:t xml:space="preserve"> </w:t>
            </w:r>
          </w:p>
        </w:tc>
      </w:tr>
      <w:tr w:rsidR="00717D45">
        <w:tc>
          <w:tcPr>
            <w:tcW w:w="2694" w:type="dxa"/>
            <w:shd w:val="clear" w:color="auto" w:fill="4BACC6" w:themeFill="accent5"/>
          </w:tcPr>
          <w:p w:rsidR="00717D45" w:rsidRDefault="00717D45" w:rsidP="00B34F20">
            <w:pPr>
              <w:pStyle w:val="ListParagraph"/>
              <w:numPr>
                <w:ilvl w:val="1"/>
                <w:numId w:val="1"/>
              </w:numPr>
              <w:ind w:left="601" w:hanging="601"/>
              <w:rPr>
                <w:b/>
                <w:color w:val="FFFFFF" w:themeColor="background1"/>
              </w:rPr>
            </w:pPr>
            <w:r>
              <w:rPr>
                <w:b/>
                <w:color w:val="FFFFFF" w:themeColor="background1"/>
              </w:rPr>
              <w:t>Delivery constraints</w:t>
            </w:r>
          </w:p>
          <w:p w:rsidR="00717D45" w:rsidRPr="00685C6D" w:rsidRDefault="00717D45" w:rsidP="00B34F20">
            <w:pPr>
              <w:pStyle w:val="ListParagraph"/>
              <w:ind w:left="601" w:hanging="601"/>
              <w:rPr>
                <w:b/>
                <w:color w:val="FFFFFF" w:themeColor="background1"/>
              </w:rPr>
            </w:pPr>
          </w:p>
        </w:tc>
        <w:tc>
          <w:tcPr>
            <w:tcW w:w="7796" w:type="dxa"/>
          </w:tcPr>
          <w:p w:rsidR="00717D45" w:rsidRDefault="00717D45" w:rsidP="00717D45">
            <w:pPr>
              <w:ind w:left="67"/>
              <w:rPr>
                <w:i/>
              </w:rPr>
            </w:pPr>
            <w:r>
              <w:rPr>
                <w:i/>
              </w:rPr>
              <w:t>High level</w:t>
            </w:r>
            <w:r w:rsidR="007D13FB">
              <w:rPr>
                <w:i/>
              </w:rPr>
              <w:t xml:space="preserve"> constraints or other factors</w:t>
            </w:r>
            <w:r>
              <w:rPr>
                <w:i/>
              </w:rPr>
              <w:t xml:space="preserve"> which may present a material risk to delivery</w:t>
            </w:r>
          </w:p>
          <w:p w:rsidR="00E17CFD" w:rsidRDefault="00E17CFD" w:rsidP="00717D45">
            <w:pPr>
              <w:ind w:left="67"/>
              <w:rPr>
                <w:i/>
              </w:rPr>
            </w:pPr>
          </w:p>
          <w:p w:rsidR="00204D63" w:rsidRPr="00204D63" w:rsidRDefault="00204D63" w:rsidP="005769DE">
            <w:pPr>
              <w:ind w:left="67"/>
              <w:jc w:val="both"/>
            </w:pPr>
            <w:r>
              <w:t xml:space="preserve">As would be expected at this stage of scheme development, there are several potential delivery constraints/risks which are identified below. All project partners are aware of these and are actively progressing mitigation measures to ensure that they are fully resolved to enable the successful delivery of this strategically important scheme for the </w:t>
            </w:r>
            <w:r w:rsidR="00D33A4A">
              <w:t>LEP economy.</w:t>
            </w:r>
            <w:r>
              <w:t xml:space="preserve"> </w:t>
            </w:r>
          </w:p>
          <w:p w:rsidR="00204D63" w:rsidRPr="00065A95" w:rsidRDefault="00204D63" w:rsidP="005769DE">
            <w:pPr>
              <w:ind w:left="67"/>
              <w:jc w:val="both"/>
              <w:rPr>
                <w:b/>
                <w:i/>
              </w:rPr>
            </w:pPr>
          </w:p>
          <w:p w:rsidR="00204D63" w:rsidRDefault="00204D63" w:rsidP="005769DE">
            <w:pPr>
              <w:ind w:left="67"/>
              <w:jc w:val="both"/>
            </w:pPr>
            <w:r w:rsidRPr="00065A95">
              <w:rPr>
                <w:b/>
                <w:i/>
              </w:rPr>
              <w:t>Town planning</w:t>
            </w:r>
            <w:r>
              <w:t xml:space="preserve"> </w:t>
            </w:r>
            <w:r w:rsidR="00065A95">
              <w:t>–</w:t>
            </w:r>
            <w:r>
              <w:t xml:space="preserve"> </w:t>
            </w:r>
            <w:r w:rsidR="00065A95">
              <w:t xml:space="preserve">securing the necessary planning consents to deliver the phase 1 scheme as proposed remains a potential delivery constraint at the current time. However, the Joint Area Action Plan for the site has been adopted and the scheme fully aligns with this. This has been through public consultation and an Examination in Public and significantly reduces the planning risk of the scheme. Furthermore, two hybrid planning applications have been submitted to Rochford District Council and a planning decision is likely in </w:t>
            </w:r>
            <w:r w:rsidR="00E87AF5">
              <w:t>February 2016.</w:t>
            </w:r>
            <w:r w:rsidR="00DA57DD">
              <w:t xml:space="preserve"> The Council has engaged with the public and key stakeholders through the development of the JAAP and the risk of not securing planning permission is considered low. </w:t>
            </w:r>
          </w:p>
          <w:p w:rsidR="00E87AF5" w:rsidRDefault="00E87AF5" w:rsidP="005769DE">
            <w:pPr>
              <w:ind w:left="67"/>
              <w:jc w:val="both"/>
            </w:pPr>
          </w:p>
          <w:p w:rsidR="00065A95" w:rsidRDefault="00065A95" w:rsidP="005769DE">
            <w:pPr>
              <w:ind w:left="67"/>
              <w:jc w:val="both"/>
            </w:pPr>
            <w:r w:rsidRPr="00065A95">
              <w:rPr>
                <w:b/>
              </w:rPr>
              <w:t xml:space="preserve">Co-operation of </w:t>
            </w:r>
            <w:r w:rsidR="00B56D21">
              <w:rPr>
                <w:b/>
              </w:rPr>
              <w:t xml:space="preserve">Westcliff </w:t>
            </w:r>
            <w:r w:rsidRPr="00065A95">
              <w:rPr>
                <w:b/>
              </w:rPr>
              <w:t>Rugby</w:t>
            </w:r>
            <w:r w:rsidRPr="00807728">
              <w:rPr>
                <w:b/>
              </w:rPr>
              <w:t xml:space="preserve"> Club</w:t>
            </w:r>
            <w:r>
              <w:t xml:space="preserve"> – the phase 1 scheme cannot be delivered without </w:t>
            </w:r>
            <w:r w:rsidR="00807728">
              <w:t xml:space="preserve">the relocation of two existing rugby pitches </w:t>
            </w:r>
            <w:r w:rsidR="00C93A8E">
              <w:t xml:space="preserve">to free up the phase 1 scheme site </w:t>
            </w:r>
            <w:r w:rsidR="00807728">
              <w:t xml:space="preserve">and the wider development of the business park is dependent upon the </w:t>
            </w:r>
            <w:r w:rsidR="00D93A0A">
              <w:t>full</w:t>
            </w:r>
            <w:r w:rsidR="00807728">
              <w:t xml:space="preserve"> relocation of the remainder of the rugby club facilities</w:t>
            </w:r>
            <w:r w:rsidR="005F5E51">
              <w:t xml:space="preserve"> which are currently on land </w:t>
            </w:r>
            <w:r w:rsidR="00311C69">
              <w:t>owned by</w:t>
            </w:r>
            <w:r w:rsidR="005F5E51">
              <w:t xml:space="preserve"> the Council</w:t>
            </w:r>
            <w:r w:rsidR="00807728">
              <w:t>. Southen</w:t>
            </w:r>
            <w:r w:rsidR="00311C69">
              <w:t xml:space="preserve">d Council has identified an adjacent </w:t>
            </w:r>
            <w:r w:rsidR="00807728">
              <w:t xml:space="preserve">greenfield relocation site </w:t>
            </w:r>
            <w:r w:rsidR="00C93A8E">
              <w:t xml:space="preserve">for the rugby club </w:t>
            </w:r>
            <w:r w:rsidR="00807728">
              <w:t>within its ownership to the north of the business park site and this is subject to the planning application referred to above</w:t>
            </w:r>
            <w:r w:rsidR="00311C69">
              <w:t xml:space="preserve"> (the Council has served notice to the existing tenant to recover this land and this will be complete by February 2016)</w:t>
            </w:r>
            <w:r w:rsidR="00807728">
              <w:t xml:space="preserve">.  Under the </w:t>
            </w:r>
            <w:r w:rsidR="00D93A0A">
              <w:t xml:space="preserve">current </w:t>
            </w:r>
            <w:r w:rsidR="00807728">
              <w:t xml:space="preserve">scheme proposals, the Council has also committed to </w:t>
            </w:r>
            <w:r w:rsidR="005F5E51">
              <w:t>fund 100% of the</w:t>
            </w:r>
            <w:r w:rsidR="00807728">
              <w:t xml:space="preserve"> relocation costs, including the</w:t>
            </w:r>
            <w:r w:rsidR="005F5E51">
              <w:t xml:space="preserve"> costs of access/infrastructure, </w:t>
            </w:r>
            <w:r w:rsidR="00807728">
              <w:t>constructing a new club house</w:t>
            </w:r>
            <w:r w:rsidR="005F5E51">
              <w:t xml:space="preserve"> and providing new pitches to the required </w:t>
            </w:r>
            <w:r w:rsidR="00311C69">
              <w:t>modern</w:t>
            </w:r>
            <w:r w:rsidR="005F5E51">
              <w:t xml:space="preserve"> standards</w:t>
            </w:r>
            <w:r w:rsidR="00807728">
              <w:t xml:space="preserve">. Detailed discussions </w:t>
            </w:r>
            <w:r w:rsidR="00C93A8E">
              <w:t>are proceeding</w:t>
            </w:r>
            <w:r w:rsidR="00807728">
              <w:t xml:space="preserve"> with the rugby club</w:t>
            </w:r>
            <w:r w:rsidR="00E87AF5">
              <w:t xml:space="preserve"> and Sport England/RFU</w:t>
            </w:r>
            <w:r w:rsidR="00807728">
              <w:t xml:space="preserve"> </w:t>
            </w:r>
            <w:r w:rsidR="00E87AF5">
              <w:t xml:space="preserve">for and although a formal agreement to proceed on this basis has yet to be signed by both parties, the Council is </w:t>
            </w:r>
            <w:r w:rsidR="005F5E51">
              <w:t xml:space="preserve">confident </w:t>
            </w:r>
            <w:r w:rsidR="00E87AF5">
              <w:t xml:space="preserve">of a mutually acceptable outcome in this regard. The fact that the rugby club will benefit from a brand new clubhouse, pitches </w:t>
            </w:r>
            <w:r w:rsidR="00F746DF">
              <w:t xml:space="preserve">and facilities should incentivise it to formally agree to be a willing partner in this scheme. </w:t>
            </w:r>
          </w:p>
          <w:p w:rsidR="00065A95" w:rsidRDefault="00065A95" w:rsidP="005769DE">
            <w:pPr>
              <w:ind w:left="67"/>
              <w:jc w:val="both"/>
            </w:pPr>
          </w:p>
          <w:p w:rsidR="00065A95" w:rsidRDefault="00065A95" w:rsidP="005769DE">
            <w:pPr>
              <w:ind w:left="67"/>
              <w:jc w:val="both"/>
            </w:pPr>
            <w:r w:rsidRPr="00E87AF5">
              <w:rPr>
                <w:b/>
              </w:rPr>
              <w:t>Market demand</w:t>
            </w:r>
            <w:r>
              <w:t xml:space="preserve"> </w:t>
            </w:r>
            <w:r w:rsidR="00E87AF5">
              <w:t>–</w:t>
            </w:r>
            <w:r w:rsidR="00F42166">
              <w:t xml:space="preserve"> there is no current firm occupier commitment to lease space on the phase 1 site. However, </w:t>
            </w:r>
            <w:r w:rsidR="00F746DF">
              <w:t>HBDL has not yet commenced a full marketing campaign and has already identified a number of interests and enquiries for dif</w:t>
            </w:r>
            <w:r w:rsidR="00664831">
              <w:t xml:space="preserve">ferent types of floorspace. Given the lack of suitable and available serviced employment land in the area, combined with the high profile location of the proposed scheme adjacent to the Airport, it is considered that these somewhat mitigate the scale of market risk that is apparent. </w:t>
            </w:r>
          </w:p>
          <w:p w:rsidR="007D13FB" w:rsidRDefault="007D13FB" w:rsidP="00717D45">
            <w:pPr>
              <w:ind w:left="67"/>
            </w:pPr>
          </w:p>
          <w:p w:rsidR="0004498A" w:rsidRDefault="0004498A" w:rsidP="004D0D22">
            <w:pPr>
              <w:ind w:left="67"/>
              <w:jc w:val="both"/>
            </w:pPr>
            <w:r w:rsidRPr="004D0D22">
              <w:rPr>
                <w:b/>
              </w:rPr>
              <w:t>Archaeology</w:t>
            </w:r>
            <w:r>
              <w:t xml:space="preserve"> </w:t>
            </w:r>
            <w:r w:rsidR="00DA57DD">
              <w:t>–</w:t>
            </w:r>
            <w:r>
              <w:t xml:space="preserve"> </w:t>
            </w:r>
            <w:r w:rsidR="00DA57DD">
              <w:t xml:space="preserve">there is understood to be the potential for some archaeological </w:t>
            </w:r>
            <w:r w:rsidR="00E87919">
              <w:t xml:space="preserve">constraints </w:t>
            </w:r>
            <w:r w:rsidR="00DA57DD">
              <w:t xml:space="preserve">on the Council owned site that is proposed for the relocation of the rugby club. Further </w:t>
            </w:r>
            <w:r w:rsidR="00E87919">
              <w:t>site investigation work is necessary to understand this further and a cost allowance has been made for this in the cost plan. This is unlikely to be a major constraint</w:t>
            </w:r>
            <w:r w:rsidR="004D0D22">
              <w:t xml:space="preserve"> to delivery, however, and initial desk-based investigations have not identified it as a major risk. </w:t>
            </w:r>
          </w:p>
          <w:p w:rsidR="00E17CFD" w:rsidRPr="00770FFB" w:rsidRDefault="00E17CFD" w:rsidP="00717D45">
            <w:pPr>
              <w:ind w:left="67"/>
              <w:rPr>
                <w:i/>
              </w:rPr>
            </w:pPr>
          </w:p>
        </w:tc>
      </w:tr>
      <w:tr w:rsidR="004C543F">
        <w:tc>
          <w:tcPr>
            <w:tcW w:w="2694" w:type="dxa"/>
            <w:shd w:val="clear" w:color="auto" w:fill="4BACC6" w:themeFill="accent5"/>
          </w:tcPr>
          <w:p w:rsidR="004C543F" w:rsidRPr="00685C6D" w:rsidRDefault="000B0193" w:rsidP="00B34F20">
            <w:pPr>
              <w:pStyle w:val="ListParagraph"/>
              <w:numPr>
                <w:ilvl w:val="1"/>
                <w:numId w:val="1"/>
              </w:numPr>
              <w:ind w:left="601" w:hanging="601"/>
              <w:rPr>
                <w:b/>
                <w:color w:val="FFFFFF" w:themeColor="background1"/>
              </w:rPr>
            </w:pPr>
            <w:r>
              <w:rPr>
                <w:b/>
                <w:color w:val="FFFFFF" w:themeColor="background1"/>
              </w:rPr>
              <w:lastRenderedPageBreak/>
              <w:t>Scheme dependencies</w:t>
            </w:r>
          </w:p>
        </w:tc>
        <w:tc>
          <w:tcPr>
            <w:tcW w:w="7796" w:type="dxa"/>
          </w:tcPr>
          <w:p w:rsidR="00077797" w:rsidRDefault="000B0193" w:rsidP="00717D45">
            <w:pPr>
              <w:ind w:left="67"/>
              <w:rPr>
                <w:i/>
              </w:rPr>
            </w:pPr>
            <w:r w:rsidRPr="007A7029">
              <w:rPr>
                <w:i/>
              </w:rPr>
              <w:t>Please provide details of any related or dependent activities that if not resolved to a satisfactory conclusion would mean that the full economic benefits of the scheme would not be realised.</w:t>
            </w:r>
          </w:p>
          <w:p w:rsidR="00E17CFD" w:rsidRDefault="00E17CFD" w:rsidP="00717D45">
            <w:pPr>
              <w:ind w:left="67"/>
            </w:pPr>
          </w:p>
          <w:p w:rsidR="00E17CFD" w:rsidRPr="00D73E6D" w:rsidRDefault="0004498A" w:rsidP="001C6F12">
            <w:pPr>
              <w:ind w:left="67"/>
              <w:jc w:val="both"/>
            </w:pPr>
            <w:r>
              <w:t xml:space="preserve">The key scheme dependencies at this stage mirror the potential delivery constraints identified above. The key dependency relates to securing agreement from the </w:t>
            </w:r>
            <w:r w:rsidR="0096599A">
              <w:t xml:space="preserve">Rugby Club to </w:t>
            </w:r>
            <w:r w:rsidR="001C6F12">
              <w:t xml:space="preserve">relocate to enable scheme delivery. Negotiations are at an advanced stage but this remains a risk and key scheme dependency at this stage. </w:t>
            </w:r>
          </w:p>
        </w:tc>
      </w:tr>
      <w:tr w:rsidR="00236CA6">
        <w:tc>
          <w:tcPr>
            <w:tcW w:w="2694" w:type="dxa"/>
            <w:shd w:val="clear" w:color="auto" w:fill="4BACC6" w:themeFill="accent5"/>
          </w:tcPr>
          <w:p w:rsidR="00236CA6" w:rsidRDefault="00236CA6" w:rsidP="009167BF">
            <w:pPr>
              <w:pStyle w:val="ListParagraph"/>
              <w:numPr>
                <w:ilvl w:val="1"/>
                <w:numId w:val="1"/>
              </w:numPr>
              <w:ind w:left="601" w:hanging="601"/>
              <w:rPr>
                <w:b/>
                <w:color w:val="FFFFFF" w:themeColor="background1"/>
              </w:rPr>
            </w:pPr>
            <w:r>
              <w:rPr>
                <w:b/>
                <w:color w:val="FFFFFF" w:themeColor="background1"/>
              </w:rPr>
              <w:t xml:space="preserve">Scope of scheme and scalability </w:t>
            </w:r>
          </w:p>
        </w:tc>
        <w:tc>
          <w:tcPr>
            <w:tcW w:w="7796" w:type="dxa"/>
          </w:tcPr>
          <w:p w:rsidR="00236CA6" w:rsidRDefault="00236CA6" w:rsidP="009167BF">
            <w:pPr>
              <w:ind w:left="67"/>
              <w:rPr>
                <w:i/>
              </w:rPr>
            </w:pPr>
            <w:r>
              <w:rPr>
                <w:i/>
              </w:rPr>
              <w:t>Please summarise what the scope of the scheme is. Provide details of whether there is the potential to reduce the projects costs but still achieve the desired outcomes.</w:t>
            </w:r>
          </w:p>
          <w:p w:rsidR="00E17CFD" w:rsidRDefault="00E17CFD" w:rsidP="009167BF">
            <w:pPr>
              <w:ind w:left="67"/>
              <w:rPr>
                <w:i/>
              </w:rPr>
            </w:pPr>
          </w:p>
          <w:p w:rsidR="00E477FA" w:rsidRDefault="001C6F12" w:rsidP="00DA57DD">
            <w:pPr>
              <w:ind w:left="67"/>
              <w:jc w:val="both"/>
            </w:pPr>
            <w:r>
              <w:lastRenderedPageBreak/>
              <w:t>The scheme entails the delivery of a phase 1 infrastructure scheme</w:t>
            </w:r>
            <w:r w:rsidR="00E477FA">
              <w:t xml:space="preserve"> (including the costs of relocating the rugby club)</w:t>
            </w:r>
            <w:r>
              <w:t xml:space="preserve"> on the ABP site to unlock a first phase of delivery of commercial floorspace on this strategic employment site. The phase 1 infrastructure costs amount to £8.8m in total and £3.2m of LGF funding is being sought towards this capital cost.  </w:t>
            </w:r>
            <w:r w:rsidR="00E477FA">
              <w:t xml:space="preserve">The infrastructure components comprise site levelling, on-site and off-site highways works, incoming services infrastructure, drainage infrastructure and soft landscaping plus the rugby club relocation costs. </w:t>
            </w:r>
          </w:p>
          <w:p w:rsidR="00E477FA" w:rsidRDefault="00E477FA" w:rsidP="00DA57DD">
            <w:pPr>
              <w:ind w:left="67"/>
              <w:jc w:val="both"/>
            </w:pPr>
          </w:p>
          <w:p w:rsidR="00E477FA" w:rsidRPr="001C6F12" w:rsidRDefault="00E477FA" w:rsidP="00DA57DD">
            <w:pPr>
              <w:ind w:left="67"/>
              <w:jc w:val="both"/>
            </w:pPr>
            <w:r>
              <w:t>There is not considered the potential to reduce the project costs to achieve the desired outcomes. This is due to the fact that these site ‘abnormals’ represent a development cost which makes the phase 1 scheme unviable without the £8.8m of public funding support, £3.2m of which is being sought from the SELEP. This is evidenced through the attached</w:t>
            </w:r>
            <w:r w:rsidR="00DA57DD">
              <w:t xml:space="preserve"> phase 1 development appraisal</w:t>
            </w:r>
            <w:r w:rsidR="00D764A9">
              <w:t>s which demonstrate</w:t>
            </w:r>
            <w:r w:rsidR="00DA57DD">
              <w:t xml:space="preserve"> that without this funding the phase 1 scheme would not be deliverable and the desired outcomes would therefore not be forthcoming</w:t>
            </w:r>
            <w:r w:rsidR="00D764A9">
              <w:t xml:space="preserve"> (the appraisals illustrate a marginally viable position and they exclude the proposed abnormal infrastructure costs)</w:t>
            </w:r>
            <w:r w:rsidR="00DA57DD">
              <w:t xml:space="preserve">. The identified phase 1 infrastructure scheme is the minimum intervention necessary to enable a viable phase 1 commercial development scheme to come forward. </w:t>
            </w:r>
          </w:p>
        </w:tc>
      </w:tr>
      <w:tr w:rsidR="00236CA6">
        <w:tc>
          <w:tcPr>
            <w:tcW w:w="2694" w:type="dxa"/>
            <w:shd w:val="clear" w:color="auto" w:fill="4BACC6" w:themeFill="accent5"/>
          </w:tcPr>
          <w:p w:rsidR="00236CA6" w:rsidRPr="00685C6D" w:rsidRDefault="00236CA6" w:rsidP="00B34F20">
            <w:pPr>
              <w:pStyle w:val="ListParagraph"/>
              <w:numPr>
                <w:ilvl w:val="1"/>
                <w:numId w:val="1"/>
              </w:numPr>
              <w:ind w:left="601" w:hanging="601"/>
              <w:rPr>
                <w:b/>
                <w:color w:val="FFFFFF" w:themeColor="background1"/>
              </w:rPr>
            </w:pPr>
            <w:r>
              <w:rPr>
                <w:b/>
                <w:color w:val="FFFFFF" w:themeColor="background1"/>
              </w:rPr>
              <w:lastRenderedPageBreak/>
              <w:t>Options if funding is not secured</w:t>
            </w:r>
          </w:p>
        </w:tc>
        <w:tc>
          <w:tcPr>
            <w:tcW w:w="7796" w:type="dxa"/>
          </w:tcPr>
          <w:p w:rsidR="00236CA6" w:rsidRDefault="00236CA6" w:rsidP="000B0193">
            <w:pPr>
              <w:ind w:left="67"/>
              <w:rPr>
                <w:i/>
              </w:rPr>
            </w:pPr>
            <w:r w:rsidRPr="00BC140E">
              <w:rPr>
                <w:i/>
              </w:rPr>
              <w:t xml:space="preserve">Please summarise what would happen if the funding </w:t>
            </w:r>
            <w:r>
              <w:rPr>
                <w:i/>
              </w:rPr>
              <w:t>for the scheme was not secured - w</w:t>
            </w:r>
            <w:r w:rsidRPr="00BC140E">
              <w:rPr>
                <w:i/>
              </w:rPr>
              <w:t>ould an alternative solution be implemented and if so please identify how it dif</w:t>
            </w:r>
            <w:r>
              <w:rPr>
                <w:i/>
              </w:rPr>
              <w:t xml:space="preserve">fers from the proposed scheme. </w:t>
            </w:r>
          </w:p>
          <w:p w:rsidR="00236CA6" w:rsidRDefault="00236CA6" w:rsidP="000B0193">
            <w:pPr>
              <w:ind w:left="67"/>
              <w:rPr>
                <w:i/>
              </w:rPr>
            </w:pPr>
          </w:p>
          <w:p w:rsidR="00BB018D" w:rsidRDefault="00DA57DD" w:rsidP="00D33A4A">
            <w:pPr>
              <w:ind w:left="67"/>
              <w:jc w:val="both"/>
            </w:pPr>
            <w:r>
              <w:t xml:space="preserve">A </w:t>
            </w:r>
            <w:r w:rsidR="004D0D22">
              <w:t>range of potential intervention options were explored in determining a preferred way forward for scheme delivery. These include:</w:t>
            </w:r>
          </w:p>
          <w:p w:rsidR="004D0D22" w:rsidRDefault="004D0D22" w:rsidP="000B0193">
            <w:pPr>
              <w:ind w:left="67"/>
            </w:pPr>
          </w:p>
          <w:p w:rsidR="004D0D22" w:rsidRDefault="004D0D22" w:rsidP="00F00DE7">
            <w:pPr>
              <w:pStyle w:val="ListParagraph"/>
              <w:numPr>
                <w:ilvl w:val="0"/>
                <w:numId w:val="33"/>
              </w:numPr>
            </w:pPr>
            <w:r>
              <w:t>Do nothing, no LGF option – the reference case</w:t>
            </w:r>
          </w:p>
          <w:p w:rsidR="004D0D22" w:rsidRDefault="004D0D22" w:rsidP="00F00DE7">
            <w:pPr>
              <w:pStyle w:val="ListParagraph"/>
              <w:numPr>
                <w:ilvl w:val="0"/>
                <w:numId w:val="33"/>
              </w:numPr>
            </w:pPr>
            <w:r>
              <w:t>Do minimum – reduced LGF scenario</w:t>
            </w:r>
          </w:p>
          <w:p w:rsidR="004D0D22" w:rsidRDefault="004D0D22" w:rsidP="00F00DE7">
            <w:pPr>
              <w:pStyle w:val="ListParagraph"/>
              <w:numPr>
                <w:ilvl w:val="0"/>
                <w:numId w:val="33"/>
              </w:numPr>
            </w:pPr>
            <w:r>
              <w:t>£3.2m LGF option</w:t>
            </w:r>
          </w:p>
          <w:p w:rsidR="004D0D22" w:rsidRDefault="004D0D22" w:rsidP="00F00DE7">
            <w:pPr>
              <w:pStyle w:val="ListParagraph"/>
              <w:numPr>
                <w:ilvl w:val="0"/>
                <w:numId w:val="33"/>
              </w:numPr>
            </w:pPr>
            <w:r>
              <w:t xml:space="preserve">Do more </w:t>
            </w:r>
            <w:r w:rsidR="00F00DE7">
              <w:t>–</w:t>
            </w:r>
            <w:r>
              <w:t xml:space="preserve"> </w:t>
            </w:r>
            <w:r w:rsidR="00F00DE7">
              <w:t>increased LGF</w:t>
            </w:r>
          </w:p>
          <w:p w:rsidR="00F00DE7" w:rsidRDefault="00F00DE7" w:rsidP="00F00DE7">
            <w:pPr>
              <w:ind w:left="67"/>
            </w:pPr>
          </w:p>
          <w:p w:rsidR="00F00DE7" w:rsidRDefault="00F00DE7" w:rsidP="00F00DE7">
            <w:pPr>
              <w:ind w:left="67"/>
            </w:pPr>
            <w:r>
              <w:t>Further details of each of these are presented below:</w:t>
            </w:r>
          </w:p>
          <w:p w:rsidR="004D0D22" w:rsidRPr="00DA57DD" w:rsidRDefault="004D0D22" w:rsidP="000B0193">
            <w:pPr>
              <w:ind w:left="67"/>
            </w:pPr>
          </w:p>
          <w:p w:rsidR="00F00DE7" w:rsidRDefault="00F00DE7" w:rsidP="00F01272">
            <w:pPr>
              <w:pStyle w:val="ListParagraph"/>
              <w:numPr>
                <w:ilvl w:val="0"/>
                <w:numId w:val="34"/>
              </w:numPr>
              <w:jc w:val="both"/>
            </w:pPr>
            <w:r>
              <w:t>Do nothing, no LGF option – the reference case</w:t>
            </w:r>
          </w:p>
          <w:p w:rsidR="00BB018D" w:rsidRPr="00F00DE7" w:rsidRDefault="00BB018D" w:rsidP="00F01272">
            <w:pPr>
              <w:pStyle w:val="ListParagraph"/>
              <w:ind w:left="427"/>
              <w:jc w:val="both"/>
            </w:pPr>
          </w:p>
          <w:p w:rsidR="00F01272" w:rsidRDefault="00F00DE7" w:rsidP="00F01272">
            <w:pPr>
              <w:ind w:left="67"/>
              <w:jc w:val="both"/>
            </w:pPr>
            <w:r>
              <w:t xml:space="preserve">This option has been presented as the reference/base case do nothing scenario and assumes that no LGF funding is awarded. Under this scenario, it is assumed that the phase 1 infrastructure scheme is not delivered and the </w:t>
            </w:r>
            <w:r w:rsidR="00F01272">
              <w:t xml:space="preserve">delivery of a phase 1 </w:t>
            </w:r>
            <w:r>
              <w:t>commercial floorspace</w:t>
            </w:r>
            <w:r w:rsidR="00F01272">
              <w:t xml:space="preserve"> scheme</w:t>
            </w:r>
            <w:r>
              <w:t xml:space="preserve"> is not unlocked as a result. This is due to the fact that the Council has allocated limited capital funding from its Capital Programme to contribute towards required </w:t>
            </w:r>
            <w:r w:rsidRPr="007164DD">
              <w:rPr>
                <w:i/>
              </w:rPr>
              <w:t>on-site</w:t>
            </w:r>
            <w:r>
              <w:t xml:space="preserve"> infrastructure works across the site as a whole. However, this is not of a sufficient scale to fund all of the required infrastructure works and is focused on the delivery of </w:t>
            </w:r>
            <w:r w:rsidRPr="007164DD">
              <w:rPr>
                <w:i/>
              </w:rPr>
              <w:t>on-site</w:t>
            </w:r>
            <w:r>
              <w:t xml:space="preserve"> infrastructure needs and the costs associated with the</w:t>
            </w:r>
            <w:r w:rsidR="00EA4DEF">
              <w:t xml:space="preserve"> comprehensive</w:t>
            </w:r>
            <w:r>
              <w:t xml:space="preserve"> relocation of the rugby clu</w:t>
            </w:r>
            <w:r w:rsidR="00EA4DEF">
              <w:t>b as part of the phase 1 scheme (which will form part of the planning conditions).</w:t>
            </w:r>
            <w:r>
              <w:t xml:space="preserve"> </w:t>
            </w:r>
            <w:r w:rsidR="00F01272">
              <w:t>There is insufficient Council funding available to fund all of the req</w:t>
            </w:r>
            <w:bookmarkStart w:id="0" w:name="_GoBack"/>
            <w:bookmarkEnd w:id="0"/>
            <w:r w:rsidR="00F01272">
              <w:t>uired phase 1 infrastructure costs, particularly those relating to off-site highways and access, incoming services (off-site) and site-wide drainage solutions (which will service the business park site as a whole).</w:t>
            </w:r>
            <w:r w:rsidR="00EA4DEF">
              <w:t xml:space="preserve"> The Council’s provisional funding is for the site as a whole and it has already allocated a disproportionately high level of its funding to the phase 1 scheme compared with the wider site</w:t>
            </w:r>
            <w:r w:rsidR="00EA4DEF" w:rsidRPr="00EA4DEF">
              <w:t>. The Council will not commit to any further investment on the phase 1 site as this will undermine its ability to bring forward wider site development and there is an inherent risk that this could result in HBDL as its development partner, terminating the DA, if the Council is not able to hold sufficient funding back to support the delivery of the wider phase 2 site.</w:t>
            </w:r>
            <w:r w:rsidR="00F01272" w:rsidRPr="00EA4DEF">
              <w:t xml:space="preserve"> Without </w:t>
            </w:r>
            <w:r w:rsidR="00F01272" w:rsidRPr="00EA4DEF">
              <w:lastRenderedPageBreak/>
              <w:t xml:space="preserve">LGF funding, there is no other way of funding these works to complete the phase 1 site infrastructure and </w:t>
            </w:r>
            <w:r w:rsidR="005E3A6B" w:rsidRPr="00EA4DEF">
              <w:t xml:space="preserve">as a consequence, </w:t>
            </w:r>
            <w:r w:rsidR="00F01272" w:rsidRPr="00EA4DEF">
              <w:t>no commercial devel</w:t>
            </w:r>
            <w:r w:rsidR="005E3A6B" w:rsidRPr="00EA4DEF">
              <w:t xml:space="preserve">opment plots </w:t>
            </w:r>
            <w:r w:rsidR="005E3A6B">
              <w:t xml:space="preserve">will come forward to deliver desired economic outcomes as the off-site highways/services works and site-wide drainage works are a fundamental component of enabling not only the phase 1 commercial scheme to be unlocked, but also subsequent phases of the business park’s development. </w:t>
            </w:r>
          </w:p>
          <w:p w:rsidR="00F01272" w:rsidRDefault="00F01272" w:rsidP="00F01272">
            <w:pPr>
              <w:ind w:left="67"/>
              <w:jc w:val="both"/>
            </w:pPr>
          </w:p>
          <w:p w:rsidR="00DA57DD" w:rsidRPr="00F00DE7" w:rsidRDefault="00F00DE7" w:rsidP="00F01272">
            <w:pPr>
              <w:ind w:left="67"/>
              <w:jc w:val="both"/>
            </w:pPr>
            <w:r>
              <w:t xml:space="preserve">Subject to the successful implementation of the phase 1 scheme, the Council </w:t>
            </w:r>
            <w:r w:rsidR="00F01272">
              <w:t xml:space="preserve">is intending to release additional further funding from its notional capital programme allocation to contribute towards further on-site infrastructure and potentially the direct delivery of a Med-Tech Innovation Facility. </w:t>
            </w:r>
            <w:r w:rsidR="005E3A6B">
              <w:t>It is not therefore in a position to be able to spend all of its funding on the phase 1 infrastructure scheme as this will compromise its ability to facilitate the delivery of the wider site which</w:t>
            </w:r>
            <w:r w:rsidR="00F01272">
              <w:t xml:space="preserve"> will also require further LEP funding support in due course and an outline business case is being developed to seek to secure funding in the next round of Growth Deal funding from the SELEP. </w:t>
            </w:r>
          </w:p>
          <w:p w:rsidR="00DA57DD" w:rsidRDefault="00DA57DD" w:rsidP="000B0193">
            <w:pPr>
              <w:ind w:left="67"/>
              <w:rPr>
                <w:i/>
              </w:rPr>
            </w:pPr>
          </w:p>
          <w:p w:rsidR="004D1C4C" w:rsidRDefault="004D1C4C" w:rsidP="005E3A6B">
            <w:pPr>
              <w:pStyle w:val="ListParagraph"/>
              <w:numPr>
                <w:ilvl w:val="0"/>
                <w:numId w:val="34"/>
              </w:numPr>
              <w:jc w:val="both"/>
            </w:pPr>
            <w:r w:rsidRPr="005E3A6B">
              <w:t>Do minimum</w:t>
            </w:r>
            <w:r w:rsidR="005E3A6B" w:rsidRPr="005E3A6B">
              <w:t xml:space="preserve"> – reduced LGF scenario</w:t>
            </w:r>
          </w:p>
          <w:p w:rsidR="005E3A6B" w:rsidRDefault="005E3A6B" w:rsidP="005E3A6B">
            <w:pPr>
              <w:jc w:val="both"/>
            </w:pPr>
          </w:p>
          <w:p w:rsidR="005E3A6B" w:rsidRPr="005E3A6B" w:rsidRDefault="005E3A6B" w:rsidP="005E3A6B">
            <w:pPr>
              <w:jc w:val="both"/>
            </w:pPr>
            <w:r>
              <w:t>LGF funding is needed to fund the capital costs of critical off-site highways and incoming services infrastructure as well as site-wide drainage infrastructure. The proposed infrastructure solutions have been developed and costed by professional engineers/cost consultants and are considered the minimum interventions necessary to unlock the phase 1 scheme and wider site development. There is no ‘do less’ scenario in terms of a technical/engineering solution which will address the infrastructure needs that are apparent. Furthermore, there is no scope for the Council to fund these works given that it has already committed its</w:t>
            </w:r>
            <w:r w:rsidR="008D3CE2">
              <w:t xml:space="preserve"> phase 1</w:t>
            </w:r>
            <w:r>
              <w:t xml:space="preserve"> funding to</w:t>
            </w:r>
            <w:r w:rsidR="008D3CE2">
              <w:t xml:space="preserve"> on-site infrastructure works, including the £3.6m cost of relocating the rugby club to facilitate delivery as well as highways/roundabout works within the site and site levelling/landscaping. Under a reduced LGF funding scenario, the outputs would therefore be the same as under the reference case option as the off-site enabling works would not be funded and therefore the development plots would not be unlocked. </w:t>
            </w:r>
            <w:r w:rsidR="00C32B74">
              <w:t xml:space="preserve">The only other alternative if there was a reduced LGF allocation in this round would be for the Council to have to </w:t>
            </w:r>
            <w:r w:rsidR="00A85C5E">
              <w:t xml:space="preserve">bring forward </w:t>
            </w:r>
            <w:r w:rsidR="00C32B74">
              <w:t>funding from its notional</w:t>
            </w:r>
            <w:r w:rsidR="00A85C5E">
              <w:t xml:space="preserve"> capital funding</w:t>
            </w:r>
            <w:r w:rsidR="00C32B74">
              <w:t xml:space="preserve"> allocation</w:t>
            </w:r>
            <w:r w:rsidR="007164DD">
              <w:t xml:space="preserve"> for the site as a whole,</w:t>
            </w:r>
            <w:r w:rsidR="00C32B74">
              <w:t xml:space="preserve"> </w:t>
            </w:r>
            <w:r w:rsidR="009E26A4">
              <w:t xml:space="preserve">but this would then impact </w:t>
            </w:r>
            <w:r w:rsidR="00A85C5E">
              <w:t>on the delivery prospects of the wider site and it would require additional LGF support at a later stage to facilitate</w:t>
            </w:r>
            <w:r w:rsidR="007164DD">
              <w:t xml:space="preserve"> the</w:t>
            </w:r>
            <w:r w:rsidR="00A85C5E">
              <w:t xml:space="preserve"> delivery</w:t>
            </w:r>
            <w:r w:rsidR="007164DD">
              <w:t xml:space="preserve"> of this</w:t>
            </w:r>
            <w:r w:rsidR="00A85C5E">
              <w:t>.</w:t>
            </w:r>
          </w:p>
          <w:p w:rsidR="004D1C4C" w:rsidRDefault="004D1C4C" w:rsidP="000B0193">
            <w:pPr>
              <w:ind w:left="67"/>
              <w:rPr>
                <w:i/>
              </w:rPr>
            </w:pPr>
          </w:p>
          <w:p w:rsidR="004D1C4C" w:rsidRDefault="004D1C4C" w:rsidP="008D3CE2">
            <w:pPr>
              <w:pStyle w:val="ListParagraph"/>
              <w:numPr>
                <w:ilvl w:val="0"/>
                <w:numId w:val="34"/>
              </w:numPr>
              <w:jc w:val="both"/>
              <w:rPr>
                <w:i/>
              </w:rPr>
            </w:pPr>
            <w:r>
              <w:rPr>
                <w:i/>
              </w:rPr>
              <w:t>£3.2m LGF</w:t>
            </w:r>
            <w:r w:rsidR="008D3CE2">
              <w:rPr>
                <w:i/>
              </w:rPr>
              <w:t xml:space="preserve"> option</w:t>
            </w:r>
          </w:p>
          <w:p w:rsidR="008D3CE2" w:rsidRDefault="008D3CE2" w:rsidP="008D3CE2">
            <w:pPr>
              <w:jc w:val="both"/>
              <w:rPr>
                <w:i/>
              </w:rPr>
            </w:pPr>
          </w:p>
          <w:p w:rsidR="008D3CE2" w:rsidRPr="008D3CE2" w:rsidRDefault="008D3CE2" w:rsidP="008D3CE2">
            <w:pPr>
              <w:jc w:val="both"/>
            </w:pPr>
            <w:r>
              <w:t xml:space="preserve">This is the Council’s preferred option which </w:t>
            </w:r>
            <w:r w:rsidR="00E67C03">
              <w:t>will result in LGF funding the off-</w:t>
            </w:r>
            <w:r>
              <w:t xml:space="preserve">site highways and service infrastructure works and site-wide drainage works and as a result of this the Council investing in the required on-site works to deliver a comprehensive phase 1 infrastructure scheme. This will unlock 6 development plots as part of a phase 1 commercial development scheme which could provide 22,000 sqm of </w:t>
            </w:r>
            <w:r w:rsidR="00E67C03">
              <w:t xml:space="preserve">high value </w:t>
            </w:r>
            <w:r>
              <w:t xml:space="preserve">commercial </w:t>
            </w:r>
            <w:r w:rsidR="00E67C03">
              <w:t xml:space="preserve">B1/C1 </w:t>
            </w:r>
            <w:r>
              <w:t xml:space="preserve">floorspace at the gateway to this high profile employment site. </w:t>
            </w:r>
          </w:p>
          <w:p w:rsidR="004D1C4C" w:rsidRDefault="004D1C4C" w:rsidP="000B0193">
            <w:pPr>
              <w:ind w:left="67"/>
              <w:rPr>
                <w:i/>
              </w:rPr>
            </w:pPr>
          </w:p>
          <w:p w:rsidR="004D1C4C" w:rsidRDefault="004D1C4C" w:rsidP="00E67C03">
            <w:pPr>
              <w:pStyle w:val="ListParagraph"/>
              <w:numPr>
                <w:ilvl w:val="0"/>
                <w:numId w:val="34"/>
              </w:numPr>
              <w:jc w:val="both"/>
              <w:rPr>
                <w:i/>
              </w:rPr>
            </w:pPr>
            <w:r>
              <w:rPr>
                <w:i/>
              </w:rPr>
              <w:t xml:space="preserve">Do more </w:t>
            </w:r>
            <w:r w:rsidR="00E67C03">
              <w:rPr>
                <w:i/>
              </w:rPr>
              <w:t>– increased LGF</w:t>
            </w:r>
          </w:p>
          <w:p w:rsidR="00A85C5E" w:rsidRDefault="00A85C5E" w:rsidP="00A85C5E">
            <w:pPr>
              <w:jc w:val="both"/>
              <w:rPr>
                <w:i/>
              </w:rPr>
            </w:pPr>
          </w:p>
          <w:p w:rsidR="00E67C03" w:rsidRDefault="00E67C03" w:rsidP="00A85C5E">
            <w:pPr>
              <w:jc w:val="both"/>
            </w:pPr>
            <w:r>
              <w:t xml:space="preserve">This option assumes that an increased level of LGF (i.e. more than £3.2m) is made available as part of a funding allocation at this stage. As the LEP will be aware from a previous outline business case submitted in relation to this scheme, there is a need for more than £3.2m of LGF to unlock the delivery of the site beyond just phase 1 and it is the Council’s objective to submit a business case seeking additional LGF </w:t>
            </w:r>
            <w:r>
              <w:lastRenderedPageBreak/>
              <w:t>support in the next round for wider site infrastructure</w:t>
            </w:r>
            <w:r w:rsidR="001A2DBB">
              <w:t xml:space="preserve"> to unlock the remainder of the site</w:t>
            </w:r>
            <w:r>
              <w:t>. If additional LGF funding was to be made available in this round, the Council would seek to progress further site infrastructure works relating the circulation road within the business park site</w:t>
            </w:r>
            <w:r w:rsidR="001A2DBB">
              <w:t xml:space="preserve"> and to progress some of the next phase of infrastructure delivery</w:t>
            </w:r>
            <w:r>
              <w:t>. This would represent an extension of the</w:t>
            </w:r>
            <w:r w:rsidR="001A2DBB">
              <w:t xml:space="preserve"> proposed phase 1 spine road within the site and further site levelling works if required to enable further development plots to be unlocked (for example, plots 5-6 and 17-18 as per the masterplan, depending upon the level of LGF that is made available). This would enable some of the plots provisionally allocated in the masterplan for B2 uses to the rear of the site to be unlocked to enable the site to accommodate </w:t>
            </w:r>
            <w:r w:rsidR="007164DD">
              <w:t xml:space="preserve">known live </w:t>
            </w:r>
            <w:r w:rsidR="001A2DBB">
              <w:t xml:space="preserve">occupier demands within the advanced manufacturing sector in addition to the provision of the proposed B1 floorspace as part of the phase 1 scheme. This would result in additional potential floorspace creation and job delivery, thus enhancing the economic impact of the project. </w:t>
            </w:r>
          </w:p>
          <w:p w:rsidR="001A2DBB" w:rsidRDefault="001A2DBB" w:rsidP="00E67C03">
            <w:pPr>
              <w:ind w:left="67"/>
              <w:jc w:val="both"/>
            </w:pPr>
          </w:p>
          <w:p w:rsidR="001A2DBB" w:rsidRDefault="001A2DBB" w:rsidP="00E67C03">
            <w:pPr>
              <w:ind w:left="67"/>
              <w:jc w:val="both"/>
            </w:pPr>
            <w:r>
              <w:t>A qualitative assessment matrix of the 4 options cons</w:t>
            </w:r>
            <w:r w:rsidR="000618AC">
              <w:t xml:space="preserve">idered above is presented below. This scores each of the options out of 5 against a range of </w:t>
            </w:r>
            <w:r w:rsidR="00C32B74">
              <w:t xml:space="preserve">scheme </w:t>
            </w:r>
            <w:r w:rsidR="000618AC">
              <w:t>objective-based criteria</w:t>
            </w:r>
            <w:r w:rsidR="00C32B74">
              <w:t xml:space="preserve"> aligning with the core project objectives as previously defined</w:t>
            </w:r>
            <w:r w:rsidR="000618AC">
              <w:t xml:space="preserve"> (whereby 1 represents </w:t>
            </w:r>
            <w:r w:rsidR="00C32B74">
              <w:t xml:space="preserve">a </w:t>
            </w:r>
            <w:r w:rsidR="000618AC">
              <w:t>low propensity to achieve the objective and 5 a high propensity).</w:t>
            </w:r>
          </w:p>
          <w:p w:rsidR="001A2DBB" w:rsidRDefault="001A2DBB" w:rsidP="00E67C03">
            <w:pPr>
              <w:ind w:left="67"/>
              <w:jc w:val="both"/>
            </w:pPr>
          </w:p>
          <w:p w:rsidR="007164DD" w:rsidRDefault="007164DD" w:rsidP="00E67C03">
            <w:pPr>
              <w:ind w:left="67"/>
              <w:jc w:val="both"/>
            </w:pPr>
          </w:p>
          <w:p w:rsidR="001A2DBB" w:rsidRDefault="001A2DBB" w:rsidP="00E67C03">
            <w:pPr>
              <w:ind w:left="67"/>
              <w:jc w:val="both"/>
            </w:pPr>
          </w:p>
          <w:tbl>
            <w:tblPr>
              <w:tblStyle w:val="TableGrid"/>
              <w:tblW w:w="0" w:type="auto"/>
              <w:jc w:val="center"/>
              <w:tblLook w:val="04A0"/>
            </w:tblPr>
            <w:tblGrid>
              <w:gridCol w:w="1527"/>
              <w:gridCol w:w="1469"/>
              <w:gridCol w:w="1469"/>
              <w:gridCol w:w="1470"/>
              <w:gridCol w:w="1470"/>
            </w:tblGrid>
            <w:tr w:rsidR="00C32B74" w:rsidRPr="00C32B74" w:rsidTr="00C32B74">
              <w:trPr>
                <w:jc w:val="center"/>
              </w:trPr>
              <w:tc>
                <w:tcPr>
                  <w:tcW w:w="1527" w:type="dxa"/>
                  <w:shd w:val="clear" w:color="auto" w:fill="D9D9D9" w:themeFill="background1" w:themeFillShade="D9"/>
                </w:tcPr>
                <w:p w:rsidR="001A2DBB" w:rsidRPr="00C32B74" w:rsidRDefault="001A2DBB" w:rsidP="00E67C03">
                  <w:pPr>
                    <w:jc w:val="both"/>
                    <w:rPr>
                      <w:sz w:val="18"/>
                      <w:szCs w:val="18"/>
                    </w:rPr>
                  </w:pPr>
                </w:p>
              </w:tc>
              <w:tc>
                <w:tcPr>
                  <w:tcW w:w="1469" w:type="dxa"/>
                  <w:shd w:val="clear" w:color="auto" w:fill="D9D9D9" w:themeFill="background1" w:themeFillShade="D9"/>
                </w:tcPr>
                <w:p w:rsidR="001A2DBB" w:rsidRPr="00C32B74" w:rsidRDefault="001A2DBB" w:rsidP="00E67C03">
                  <w:pPr>
                    <w:jc w:val="both"/>
                    <w:rPr>
                      <w:b/>
                      <w:sz w:val="18"/>
                      <w:szCs w:val="18"/>
                    </w:rPr>
                  </w:pPr>
                  <w:r w:rsidRPr="00C32B74">
                    <w:rPr>
                      <w:b/>
                      <w:sz w:val="18"/>
                      <w:szCs w:val="18"/>
                    </w:rPr>
                    <w:t>Option 1</w:t>
                  </w:r>
                </w:p>
              </w:tc>
              <w:tc>
                <w:tcPr>
                  <w:tcW w:w="1469" w:type="dxa"/>
                  <w:shd w:val="clear" w:color="auto" w:fill="D9D9D9" w:themeFill="background1" w:themeFillShade="D9"/>
                </w:tcPr>
                <w:p w:rsidR="001A2DBB" w:rsidRPr="00C32B74" w:rsidRDefault="001A2DBB" w:rsidP="00E67C03">
                  <w:pPr>
                    <w:jc w:val="both"/>
                    <w:rPr>
                      <w:b/>
                      <w:sz w:val="18"/>
                      <w:szCs w:val="18"/>
                    </w:rPr>
                  </w:pPr>
                  <w:r w:rsidRPr="00C32B74">
                    <w:rPr>
                      <w:b/>
                      <w:sz w:val="18"/>
                      <w:szCs w:val="18"/>
                    </w:rPr>
                    <w:t>Option 2</w:t>
                  </w:r>
                </w:p>
              </w:tc>
              <w:tc>
                <w:tcPr>
                  <w:tcW w:w="1470" w:type="dxa"/>
                  <w:shd w:val="clear" w:color="auto" w:fill="D9D9D9" w:themeFill="background1" w:themeFillShade="D9"/>
                </w:tcPr>
                <w:p w:rsidR="001A2DBB" w:rsidRPr="00C32B74" w:rsidRDefault="001A2DBB" w:rsidP="00E67C03">
                  <w:pPr>
                    <w:jc w:val="both"/>
                    <w:rPr>
                      <w:b/>
                      <w:sz w:val="18"/>
                      <w:szCs w:val="18"/>
                    </w:rPr>
                  </w:pPr>
                  <w:r w:rsidRPr="00C32B74">
                    <w:rPr>
                      <w:b/>
                      <w:sz w:val="18"/>
                      <w:szCs w:val="18"/>
                    </w:rPr>
                    <w:t>Option 3</w:t>
                  </w:r>
                </w:p>
              </w:tc>
              <w:tc>
                <w:tcPr>
                  <w:tcW w:w="1470" w:type="dxa"/>
                  <w:shd w:val="clear" w:color="auto" w:fill="D9D9D9" w:themeFill="background1" w:themeFillShade="D9"/>
                </w:tcPr>
                <w:p w:rsidR="001A2DBB" w:rsidRPr="00C32B74" w:rsidRDefault="001A2DBB" w:rsidP="00E67C03">
                  <w:pPr>
                    <w:jc w:val="both"/>
                    <w:rPr>
                      <w:b/>
                      <w:sz w:val="18"/>
                      <w:szCs w:val="18"/>
                    </w:rPr>
                  </w:pPr>
                  <w:r w:rsidRPr="00C32B74">
                    <w:rPr>
                      <w:b/>
                      <w:sz w:val="18"/>
                      <w:szCs w:val="18"/>
                    </w:rPr>
                    <w:t>Option 4</w:t>
                  </w:r>
                </w:p>
              </w:tc>
            </w:tr>
            <w:tr w:rsidR="00C32B74" w:rsidRPr="00C32B74" w:rsidTr="00C32B74">
              <w:trPr>
                <w:jc w:val="center"/>
              </w:trPr>
              <w:tc>
                <w:tcPr>
                  <w:tcW w:w="1527" w:type="dxa"/>
                </w:tcPr>
                <w:p w:rsidR="001A2DBB" w:rsidRPr="00C32B74" w:rsidRDefault="00C32B74" w:rsidP="00C32B74">
                  <w:pPr>
                    <w:rPr>
                      <w:sz w:val="18"/>
                      <w:szCs w:val="18"/>
                    </w:rPr>
                  </w:pPr>
                  <w:r w:rsidRPr="00C32B74">
                    <w:rPr>
                      <w:sz w:val="18"/>
                      <w:szCs w:val="18"/>
                    </w:rPr>
                    <w:t>To deliver a new road access and spine road, utility/services infrastructure and a new facility for the existing rugby club by March 2017</w:t>
                  </w:r>
                </w:p>
              </w:tc>
              <w:tc>
                <w:tcPr>
                  <w:tcW w:w="1469" w:type="dxa"/>
                </w:tcPr>
                <w:p w:rsidR="001A2DBB" w:rsidRPr="00C32B74" w:rsidRDefault="00C32B74" w:rsidP="00C32B74">
                  <w:pPr>
                    <w:jc w:val="center"/>
                    <w:rPr>
                      <w:sz w:val="18"/>
                      <w:szCs w:val="18"/>
                    </w:rPr>
                  </w:pPr>
                  <w:r>
                    <w:rPr>
                      <w:sz w:val="18"/>
                      <w:szCs w:val="18"/>
                    </w:rPr>
                    <w:t>0</w:t>
                  </w:r>
                </w:p>
              </w:tc>
              <w:tc>
                <w:tcPr>
                  <w:tcW w:w="1469" w:type="dxa"/>
                </w:tcPr>
                <w:p w:rsidR="001A2DBB" w:rsidRPr="00C32B74" w:rsidRDefault="00C32B74" w:rsidP="00C32B74">
                  <w:pPr>
                    <w:jc w:val="center"/>
                    <w:rPr>
                      <w:sz w:val="18"/>
                      <w:szCs w:val="18"/>
                    </w:rPr>
                  </w:pPr>
                  <w:r>
                    <w:rPr>
                      <w:sz w:val="18"/>
                      <w:szCs w:val="18"/>
                    </w:rPr>
                    <w:t>0</w:t>
                  </w:r>
                </w:p>
              </w:tc>
              <w:tc>
                <w:tcPr>
                  <w:tcW w:w="1470" w:type="dxa"/>
                </w:tcPr>
                <w:p w:rsidR="001A2DBB" w:rsidRPr="00C32B74" w:rsidRDefault="00C32B74" w:rsidP="00C32B74">
                  <w:pPr>
                    <w:jc w:val="center"/>
                    <w:rPr>
                      <w:sz w:val="18"/>
                      <w:szCs w:val="18"/>
                    </w:rPr>
                  </w:pPr>
                  <w:r>
                    <w:rPr>
                      <w:sz w:val="18"/>
                      <w:szCs w:val="18"/>
                    </w:rPr>
                    <w:t>5</w:t>
                  </w:r>
                </w:p>
              </w:tc>
              <w:tc>
                <w:tcPr>
                  <w:tcW w:w="1470" w:type="dxa"/>
                </w:tcPr>
                <w:p w:rsidR="001A2DBB" w:rsidRPr="00C32B74" w:rsidRDefault="00C32B74" w:rsidP="00C32B74">
                  <w:pPr>
                    <w:jc w:val="center"/>
                    <w:rPr>
                      <w:sz w:val="18"/>
                      <w:szCs w:val="18"/>
                    </w:rPr>
                  </w:pPr>
                  <w:r>
                    <w:rPr>
                      <w:sz w:val="18"/>
                      <w:szCs w:val="18"/>
                    </w:rPr>
                    <w:t>5</w:t>
                  </w:r>
                </w:p>
              </w:tc>
            </w:tr>
            <w:tr w:rsidR="00C32B74" w:rsidRPr="00C32B74" w:rsidTr="00C32B74">
              <w:trPr>
                <w:jc w:val="center"/>
              </w:trPr>
              <w:tc>
                <w:tcPr>
                  <w:tcW w:w="1527" w:type="dxa"/>
                </w:tcPr>
                <w:p w:rsidR="001A2DBB" w:rsidRPr="00C32B74" w:rsidRDefault="007164DD" w:rsidP="00C32B74">
                  <w:pPr>
                    <w:rPr>
                      <w:sz w:val="18"/>
                      <w:szCs w:val="18"/>
                    </w:rPr>
                  </w:pPr>
                  <w:r>
                    <w:rPr>
                      <w:sz w:val="18"/>
                      <w:szCs w:val="18"/>
                    </w:rPr>
                    <w:t>To directly support 130</w:t>
                  </w:r>
                  <w:r w:rsidR="00C32B74" w:rsidRPr="00C32B74">
                    <w:rPr>
                      <w:sz w:val="18"/>
                      <w:szCs w:val="18"/>
                    </w:rPr>
                    <w:t xml:space="preserve"> FTE construction jobs by March 2017 relating to the infrastructure works</w:t>
                  </w:r>
                </w:p>
              </w:tc>
              <w:tc>
                <w:tcPr>
                  <w:tcW w:w="1469" w:type="dxa"/>
                </w:tcPr>
                <w:p w:rsidR="001A2DBB" w:rsidRPr="00C32B74" w:rsidRDefault="00C32B74" w:rsidP="00C32B74">
                  <w:pPr>
                    <w:jc w:val="center"/>
                    <w:rPr>
                      <w:sz w:val="18"/>
                      <w:szCs w:val="18"/>
                    </w:rPr>
                  </w:pPr>
                  <w:r>
                    <w:rPr>
                      <w:sz w:val="18"/>
                      <w:szCs w:val="18"/>
                    </w:rPr>
                    <w:t>0</w:t>
                  </w:r>
                </w:p>
              </w:tc>
              <w:tc>
                <w:tcPr>
                  <w:tcW w:w="1469" w:type="dxa"/>
                </w:tcPr>
                <w:p w:rsidR="001A2DBB" w:rsidRPr="00C32B74" w:rsidRDefault="00C32B74" w:rsidP="00C32B74">
                  <w:pPr>
                    <w:jc w:val="center"/>
                    <w:rPr>
                      <w:sz w:val="18"/>
                      <w:szCs w:val="18"/>
                    </w:rPr>
                  </w:pPr>
                  <w:r>
                    <w:rPr>
                      <w:sz w:val="18"/>
                      <w:szCs w:val="18"/>
                    </w:rPr>
                    <w:t>0</w:t>
                  </w:r>
                </w:p>
              </w:tc>
              <w:tc>
                <w:tcPr>
                  <w:tcW w:w="1470" w:type="dxa"/>
                </w:tcPr>
                <w:p w:rsidR="001A2DBB" w:rsidRPr="00C32B74" w:rsidRDefault="00C32B74" w:rsidP="00C32B74">
                  <w:pPr>
                    <w:jc w:val="center"/>
                    <w:rPr>
                      <w:sz w:val="18"/>
                      <w:szCs w:val="18"/>
                    </w:rPr>
                  </w:pPr>
                  <w:r>
                    <w:rPr>
                      <w:sz w:val="18"/>
                      <w:szCs w:val="18"/>
                    </w:rPr>
                    <w:t>5</w:t>
                  </w:r>
                </w:p>
              </w:tc>
              <w:tc>
                <w:tcPr>
                  <w:tcW w:w="1470" w:type="dxa"/>
                </w:tcPr>
                <w:p w:rsidR="001A2DBB" w:rsidRPr="00C32B74" w:rsidRDefault="00C32B74" w:rsidP="00C32B74">
                  <w:pPr>
                    <w:jc w:val="center"/>
                    <w:rPr>
                      <w:sz w:val="18"/>
                      <w:szCs w:val="18"/>
                    </w:rPr>
                  </w:pPr>
                  <w:r>
                    <w:rPr>
                      <w:sz w:val="18"/>
                      <w:szCs w:val="18"/>
                    </w:rPr>
                    <w:t>5</w:t>
                  </w:r>
                </w:p>
              </w:tc>
            </w:tr>
            <w:tr w:rsidR="00C32B74" w:rsidRPr="00C32B74" w:rsidTr="00C32B74">
              <w:trPr>
                <w:jc w:val="center"/>
              </w:trPr>
              <w:tc>
                <w:tcPr>
                  <w:tcW w:w="1527" w:type="dxa"/>
                </w:tcPr>
                <w:p w:rsidR="001A2DBB" w:rsidRPr="00C32B74" w:rsidRDefault="00C32B74" w:rsidP="00C32B74">
                  <w:pPr>
                    <w:rPr>
                      <w:sz w:val="18"/>
                      <w:szCs w:val="18"/>
                    </w:rPr>
                  </w:pPr>
                  <w:r w:rsidRPr="00C32B74">
                    <w:rPr>
                      <w:sz w:val="18"/>
                      <w:szCs w:val="18"/>
                    </w:rPr>
                    <w:t>To unlock the potential for 22,000 sqm of new commercial floorspace by 2020 as part of the phase 1 scheme</w:t>
                  </w:r>
                </w:p>
              </w:tc>
              <w:tc>
                <w:tcPr>
                  <w:tcW w:w="1469" w:type="dxa"/>
                </w:tcPr>
                <w:p w:rsidR="001A2DBB" w:rsidRPr="00C32B74" w:rsidRDefault="00C32B74" w:rsidP="00C32B74">
                  <w:pPr>
                    <w:jc w:val="center"/>
                    <w:rPr>
                      <w:sz w:val="18"/>
                      <w:szCs w:val="18"/>
                    </w:rPr>
                  </w:pPr>
                  <w:r>
                    <w:rPr>
                      <w:sz w:val="18"/>
                      <w:szCs w:val="18"/>
                    </w:rPr>
                    <w:t>0</w:t>
                  </w:r>
                </w:p>
              </w:tc>
              <w:tc>
                <w:tcPr>
                  <w:tcW w:w="1469" w:type="dxa"/>
                </w:tcPr>
                <w:p w:rsidR="001A2DBB" w:rsidRPr="00C32B74" w:rsidRDefault="00C32B74" w:rsidP="00C32B74">
                  <w:pPr>
                    <w:jc w:val="center"/>
                    <w:rPr>
                      <w:sz w:val="18"/>
                      <w:szCs w:val="18"/>
                    </w:rPr>
                  </w:pPr>
                  <w:r>
                    <w:rPr>
                      <w:sz w:val="18"/>
                      <w:szCs w:val="18"/>
                    </w:rPr>
                    <w:t>0</w:t>
                  </w:r>
                </w:p>
              </w:tc>
              <w:tc>
                <w:tcPr>
                  <w:tcW w:w="1470" w:type="dxa"/>
                </w:tcPr>
                <w:p w:rsidR="001A2DBB" w:rsidRPr="00C32B74" w:rsidRDefault="00C32B74" w:rsidP="00C32B74">
                  <w:pPr>
                    <w:jc w:val="center"/>
                    <w:rPr>
                      <w:sz w:val="18"/>
                      <w:szCs w:val="18"/>
                    </w:rPr>
                  </w:pPr>
                  <w:r>
                    <w:rPr>
                      <w:sz w:val="18"/>
                      <w:szCs w:val="18"/>
                    </w:rPr>
                    <w:t>5</w:t>
                  </w:r>
                </w:p>
              </w:tc>
              <w:tc>
                <w:tcPr>
                  <w:tcW w:w="1470" w:type="dxa"/>
                </w:tcPr>
                <w:p w:rsidR="001A2DBB" w:rsidRPr="00C32B74" w:rsidRDefault="00C32B74" w:rsidP="00C32B74">
                  <w:pPr>
                    <w:jc w:val="center"/>
                    <w:rPr>
                      <w:sz w:val="18"/>
                      <w:szCs w:val="18"/>
                    </w:rPr>
                  </w:pPr>
                  <w:r>
                    <w:rPr>
                      <w:sz w:val="18"/>
                      <w:szCs w:val="18"/>
                    </w:rPr>
                    <w:t>5</w:t>
                  </w:r>
                </w:p>
              </w:tc>
            </w:tr>
            <w:tr w:rsidR="00C32B74" w:rsidRPr="00C32B74" w:rsidTr="00C32B74">
              <w:trPr>
                <w:jc w:val="center"/>
              </w:trPr>
              <w:tc>
                <w:tcPr>
                  <w:tcW w:w="1527" w:type="dxa"/>
                  <w:tcBorders>
                    <w:bottom w:val="single" w:sz="4" w:space="0" w:color="auto"/>
                  </w:tcBorders>
                </w:tcPr>
                <w:p w:rsidR="001A2DBB" w:rsidRPr="00C32B74" w:rsidRDefault="00C32B74" w:rsidP="00C32B74">
                  <w:pPr>
                    <w:rPr>
                      <w:sz w:val="18"/>
                      <w:szCs w:val="18"/>
                    </w:rPr>
                  </w:pPr>
                  <w:r w:rsidRPr="00C32B74">
                    <w:rPr>
                      <w:sz w:val="18"/>
                      <w:szCs w:val="18"/>
                    </w:rPr>
                    <w:t>To support the delivery of 1,100 new gross jobs by 2021 as part of the phase 1 scheme</w:t>
                  </w:r>
                </w:p>
              </w:tc>
              <w:tc>
                <w:tcPr>
                  <w:tcW w:w="1469" w:type="dxa"/>
                  <w:tcBorders>
                    <w:bottom w:val="single" w:sz="4" w:space="0" w:color="auto"/>
                  </w:tcBorders>
                </w:tcPr>
                <w:p w:rsidR="001A2DBB" w:rsidRPr="00C32B74" w:rsidRDefault="00C32B74" w:rsidP="00C32B74">
                  <w:pPr>
                    <w:jc w:val="center"/>
                    <w:rPr>
                      <w:sz w:val="18"/>
                      <w:szCs w:val="18"/>
                    </w:rPr>
                  </w:pPr>
                  <w:r>
                    <w:rPr>
                      <w:sz w:val="18"/>
                      <w:szCs w:val="18"/>
                    </w:rPr>
                    <w:t>0</w:t>
                  </w:r>
                </w:p>
              </w:tc>
              <w:tc>
                <w:tcPr>
                  <w:tcW w:w="1469" w:type="dxa"/>
                  <w:tcBorders>
                    <w:bottom w:val="single" w:sz="4" w:space="0" w:color="auto"/>
                  </w:tcBorders>
                </w:tcPr>
                <w:p w:rsidR="001A2DBB" w:rsidRPr="00C32B74" w:rsidRDefault="00C32B74" w:rsidP="00C32B74">
                  <w:pPr>
                    <w:jc w:val="center"/>
                    <w:rPr>
                      <w:sz w:val="18"/>
                      <w:szCs w:val="18"/>
                    </w:rPr>
                  </w:pPr>
                  <w:r>
                    <w:rPr>
                      <w:sz w:val="18"/>
                      <w:szCs w:val="18"/>
                    </w:rPr>
                    <w:t>0</w:t>
                  </w:r>
                </w:p>
              </w:tc>
              <w:tc>
                <w:tcPr>
                  <w:tcW w:w="1470" w:type="dxa"/>
                  <w:tcBorders>
                    <w:bottom w:val="single" w:sz="4" w:space="0" w:color="auto"/>
                  </w:tcBorders>
                </w:tcPr>
                <w:p w:rsidR="001A2DBB" w:rsidRPr="00C32B74" w:rsidRDefault="00C32B74" w:rsidP="00C32B74">
                  <w:pPr>
                    <w:jc w:val="center"/>
                    <w:rPr>
                      <w:sz w:val="18"/>
                      <w:szCs w:val="18"/>
                    </w:rPr>
                  </w:pPr>
                  <w:r>
                    <w:rPr>
                      <w:sz w:val="18"/>
                      <w:szCs w:val="18"/>
                    </w:rPr>
                    <w:t>5</w:t>
                  </w:r>
                </w:p>
              </w:tc>
              <w:tc>
                <w:tcPr>
                  <w:tcW w:w="1470" w:type="dxa"/>
                  <w:tcBorders>
                    <w:bottom w:val="single" w:sz="4" w:space="0" w:color="auto"/>
                  </w:tcBorders>
                </w:tcPr>
                <w:p w:rsidR="001A2DBB" w:rsidRPr="00C32B74" w:rsidRDefault="00C32B74" w:rsidP="00C32B74">
                  <w:pPr>
                    <w:jc w:val="center"/>
                    <w:rPr>
                      <w:sz w:val="18"/>
                      <w:szCs w:val="18"/>
                    </w:rPr>
                  </w:pPr>
                  <w:r>
                    <w:rPr>
                      <w:sz w:val="18"/>
                      <w:szCs w:val="18"/>
                    </w:rPr>
                    <w:t>5</w:t>
                  </w:r>
                </w:p>
              </w:tc>
            </w:tr>
            <w:tr w:rsidR="00C32B74" w:rsidRPr="00C32B74" w:rsidTr="00C32B74">
              <w:trPr>
                <w:jc w:val="center"/>
              </w:trPr>
              <w:tc>
                <w:tcPr>
                  <w:tcW w:w="1527" w:type="dxa"/>
                  <w:shd w:val="clear" w:color="auto" w:fill="D9D9D9" w:themeFill="background1" w:themeFillShade="D9"/>
                </w:tcPr>
                <w:p w:rsidR="001A2DBB" w:rsidRPr="00C32B74" w:rsidRDefault="001A2DBB" w:rsidP="00E67C03">
                  <w:pPr>
                    <w:jc w:val="both"/>
                    <w:rPr>
                      <w:b/>
                      <w:sz w:val="18"/>
                      <w:szCs w:val="18"/>
                    </w:rPr>
                  </w:pPr>
                </w:p>
                <w:p w:rsidR="001A2DBB" w:rsidRPr="00C32B74" w:rsidRDefault="00C32B74" w:rsidP="00E67C03">
                  <w:pPr>
                    <w:jc w:val="both"/>
                    <w:rPr>
                      <w:b/>
                      <w:sz w:val="18"/>
                      <w:szCs w:val="18"/>
                    </w:rPr>
                  </w:pPr>
                  <w:r w:rsidRPr="00C32B74">
                    <w:rPr>
                      <w:b/>
                      <w:sz w:val="18"/>
                      <w:szCs w:val="18"/>
                    </w:rPr>
                    <w:t>TOTAL SCORE</w:t>
                  </w:r>
                </w:p>
                <w:p w:rsidR="001A2DBB" w:rsidRPr="00C32B74" w:rsidRDefault="001A2DBB" w:rsidP="00E67C03">
                  <w:pPr>
                    <w:jc w:val="both"/>
                    <w:rPr>
                      <w:b/>
                      <w:sz w:val="18"/>
                      <w:szCs w:val="18"/>
                    </w:rPr>
                  </w:pPr>
                </w:p>
              </w:tc>
              <w:tc>
                <w:tcPr>
                  <w:tcW w:w="1469" w:type="dxa"/>
                  <w:shd w:val="clear" w:color="auto" w:fill="D9D9D9" w:themeFill="background1" w:themeFillShade="D9"/>
                </w:tcPr>
                <w:p w:rsidR="00C32B74" w:rsidRDefault="00C32B74" w:rsidP="00C32B74">
                  <w:pPr>
                    <w:jc w:val="center"/>
                    <w:rPr>
                      <w:b/>
                      <w:sz w:val="18"/>
                      <w:szCs w:val="18"/>
                    </w:rPr>
                  </w:pPr>
                </w:p>
                <w:p w:rsidR="001A2DBB" w:rsidRPr="00C32B74" w:rsidRDefault="00C32B74" w:rsidP="00C32B74">
                  <w:pPr>
                    <w:jc w:val="center"/>
                    <w:rPr>
                      <w:b/>
                      <w:sz w:val="18"/>
                      <w:szCs w:val="18"/>
                    </w:rPr>
                  </w:pPr>
                  <w:r w:rsidRPr="00C32B74">
                    <w:rPr>
                      <w:b/>
                      <w:sz w:val="18"/>
                      <w:szCs w:val="18"/>
                    </w:rPr>
                    <w:t>0</w:t>
                  </w:r>
                </w:p>
              </w:tc>
              <w:tc>
                <w:tcPr>
                  <w:tcW w:w="1469" w:type="dxa"/>
                  <w:shd w:val="clear" w:color="auto" w:fill="D9D9D9" w:themeFill="background1" w:themeFillShade="D9"/>
                </w:tcPr>
                <w:p w:rsidR="00C32B74" w:rsidRDefault="00C32B74" w:rsidP="00C32B74">
                  <w:pPr>
                    <w:jc w:val="center"/>
                    <w:rPr>
                      <w:b/>
                      <w:sz w:val="18"/>
                      <w:szCs w:val="18"/>
                    </w:rPr>
                  </w:pPr>
                </w:p>
                <w:p w:rsidR="001A2DBB" w:rsidRPr="00C32B74" w:rsidRDefault="00C32B74" w:rsidP="00C32B74">
                  <w:pPr>
                    <w:jc w:val="center"/>
                    <w:rPr>
                      <w:b/>
                      <w:sz w:val="18"/>
                      <w:szCs w:val="18"/>
                    </w:rPr>
                  </w:pPr>
                  <w:r w:rsidRPr="00C32B74">
                    <w:rPr>
                      <w:b/>
                      <w:sz w:val="18"/>
                      <w:szCs w:val="18"/>
                    </w:rPr>
                    <w:t>0</w:t>
                  </w:r>
                </w:p>
              </w:tc>
              <w:tc>
                <w:tcPr>
                  <w:tcW w:w="1470" w:type="dxa"/>
                  <w:shd w:val="clear" w:color="auto" w:fill="D9D9D9" w:themeFill="background1" w:themeFillShade="D9"/>
                </w:tcPr>
                <w:p w:rsidR="00C32B74" w:rsidRDefault="00C32B74" w:rsidP="00C32B74">
                  <w:pPr>
                    <w:jc w:val="center"/>
                    <w:rPr>
                      <w:b/>
                      <w:sz w:val="18"/>
                      <w:szCs w:val="18"/>
                    </w:rPr>
                  </w:pPr>
                </w:p>
                <w:p w:rsidR="001A2DBB" w:rsidRPr="00C32B74" w:rsidRDefault="00C32B74" w:rsidP="00C32B74">
                  <w:pPr>
                    <w:jc w:val="center"/>
                    <w:rPr>
                      <w:b/>
                      <w:sz w:val="18"/>
                      <w:szCs w:val="18"/>
                    </w:rPr>
                  </w:pPr>
                  <w:r w:rsidRPr="00C32B74">
                    <w:rPr>
                      <w:b/>
                      <w:sz w:val="18"/>
                      <w:szCs w:val="18"/>
                    </w:rPr>
                    <w:t>20</w:t>
                  </w:r>
                </w:p>
              </w:tc>
              <w:tc>
                <w:tcPr>
                  <w:tcW w:w="1470" w:type="dxa"/>
                  <w:shd w:val="clear" w:color="auto" w:fill="D9D9D9" w:themeFill="background1" w:themeFillShade="D9"/>
                </w:tcPr>
                <w:p w:rsidR="00C32B74" w:rsidRDefault="00C32B74" w:rsidP="00C32B74">
                  <w:pPr>
                    <w:jc w:val="center"/>
                    <w:rPr>
                      <w:b/>
                      <w:sz w:val="18"/>
                      <w:szCs w:val="18"/>
                    </w:rPr>
                  </w:pPr>
                </w:p>
                <w:p w:rsidR="001A2DBB" w:rsidRPr="00C32B74" w:rsidRDefault="00C32B74" w:rsidP="00C32B74">
                  <w:pPr>
                    <w:jc w:val="center"/>
                    <w:rPr>
                      <w:b/>
                      <w:sz w:val="18"/>
                      <w:szCs w:val="18"/>
                    </w:rPr>
                  </w:pPr>
                  <w:r w:rsidRPr="00C32B74">
                    <w:rPr>
                      <w:b/>
                      <w:sz w:val="18"/>
                      <w:szCs w:val="18"/>
                    </w:rPr>
                    <w:t>20</w:t>
                  </w:r>
                </w:p>
              </w:tc>
            </w:tr>
          </w:tbl>
          <w:p w:rsidR="001A2DBB" w:rsidRDefault="001A2DBB" w:rsidP="00E67C03">
            <w:pPr>
              <w:ind w:left="67"/>
              <w:jc w:val="both"/>
            </w:pPr>
          </w:p>
          <w:p w:rsidR="001A2DBB" w:rsidRDefault="001A2DBB" w:rsidP="00E67C03">
            <w:pPr>
              <w:ind w:left="67"/>
              <w:jc w:val="both"/>
            </w:pPr>
          </w:p>
          <w:p w:rsidR="001A2DBB" w:rsidRDefault="00C32B74" w:rsidP="00E67C03">
            <w:pPr>
              <w:ind w:left="67"/>
              <w:jc w:val="both"/>
            </w:pPr>
            <w:r>
              <w:t xml:space="preserve">This clearly identifies that options 3 and 4 are the </w:t>
            </w:r>
            <w:r w:rsidR="007164DD">
              <w:t xml:space="preserve">equally </w:t>
            </w:r>
            <w:r>
              <w:t xml:space="preserve">highest scoring options given that they will fully deliver against the project objectives. The do-nothing and </w:t>
            </w:r>
            <w:r>
              <w:lastRenderedPageBreak/>
              <w:t xml:space="preserve">do-minimum options both fail to deliver the required infrastructure scheme to unlock the phase 1 development plots and no outputs are attributable to either of these options. </w:t>
            </w:r>
            <w:r w:rsidR="00A85C5E">
              <w:t xml:space="preserve">Option 4 has been discounted at this stage on the basis that we are aware that the LEP only has £3.2m of funding provisionally allocated to this scheme at this stage. Option 3 – the £3.2m LGF funding option – has therefore been shortlisted to the full economic appraisal stage as well as the reference case option 1 – the LGF funding option – in accordance with Green Book appraisal requirements. </w:t>
            </w:r>
          </w:p>
          <w:p w:rsidR="001A2DBB" w:rsidRDefault="001A2DBB" w:rsidP="00E67C03">
            <w:pPr>
              <w:ind w:left="67"/>
              <w:jc w:val="both"/>
            </w:pPr>
          </w:p>
          <w:p w:rsidR="00236CA6" w:rsidRPr="000B0193" w:rsidRDefault="00236CA6" w:rsidP="00FC53B9">
            <w:pPr>
              <w:rPr>
                <w:i/>
              </w:rPr>
            </w:pPr>
          </w:p>
        </w:tc>
      </w:tr>
    </w:tbl>
    <w:p w:rsidR="000B0193" w:rsidRDefault="000B0193" w:rsidP="008C2F9C">
      <w:pPr>
        <w:spacing w:after="0" w:line="240" w:lineRule="auto"/>
        <w:ind w:left="709" w:hanging="567"/>
        <w:rPr>
          <w:b/>
        </w:rPr>
      </w:pPr>
    </w:p>
    <w:p w:rsidR="000B0193" w:rsidRDefault="000B0193">
      <w:pPr>
        <w:rPr>
          <w:b/>
        </w:rPr>
      </w:pPr>
      <w:r>
        <w:rPr>
          <w:b/>
        </w:rPr>
        <w:br w:type="page"/>
      </w:r>
    </w:p>
    <w:p w:rsidR="004C543F" w:rsidRDefault="004C543F" w:rsidP="008C2F9C">
      <w:pPr>
        <w:spacing w:after="0" w:line="240" w:lineRule="auto"/>
        <w:ind w:left="709" w:hanging="567"/>
        <w:rPr>
          <w:b/>
        </w:rPr>
      </w:pPr>
    </w:p>
    <w:tbl>
      <w:tblPr>
        <w:tblStyle w:val="TableGrid"/>
        <w:tblW w:w="0" w:type="auto"/>
        <w:tblInd w:w="108" w:type="dxa"/>
        <w:tblLook w:val="04A0"/>
      </w:tblPr>
      <w:tblGrid>
        <w:gridCol w:w="2030"/>
        <w:gridCol w:w="8509"/>
      </w:tblGrid>
      <w:tr w:rsidR="006D5A61" w:rsidTr="00AD24D5">
        <w:tc>
          <w:tcPr>
            <w:tcW w:w="10348" w:type="dxa"/>
            <w:gridSpan w:val="2"/>
            <w:tcBorders>
              <w:bottom w:val="single" w:sz="4" w:space="0" w:color="auto"/>
            </w:tcBorders>
            <w:shd w:val="clear" w:color="auto" w:fill="000000" w:themeFill="text1"/>
          </w:tcPr>
          <w:p w:rsidR="006D5A61" w:rsidRPr="00CC3E27" w:rsidRDefault="006D5A61" w:rsidP="00CC3E27">
            <w:pPr>
              <w:pStyle w:val="ListParagraph"/>
              <w:numPr>
                <w:ilvl w:val="0"/>
                <w:numId w:val="1"/>
              </w:numPr>
              <w:ind w:left="601" w:hanging="567"/>
              <w:rPr>
                <w:b/>
                <w:sz w:val="24"/>
              </w:rPr>
            </w:pPr>
            <w:r w:rsidRPr="006279EC">
              <w:rPr>
                <w:b/>
                <w:sz w:val="24"/>
              </w:rPr>
              <w:t>ECONOMIC CASE</w:t>
            </w:r>
          </w:p>
        </w:tc>
      </w:tr>
      <w:tr w:rsidR="00CC3E27" w:rsidTr="00AD24D5">
        <w:tc>
          <w:tcPr>
            <w:tcW w:w="10348" w:type="dxa"/>
            <w:gridSpan w:val="2"/>
            <w:shd w:val="clear" w:color="auto" w:fill="FFFFFF" w:themeFill="background1"/>
          </w:tcPr>
          <w:p w:rsidR="00CC3E27" w:rsidRPr="00CC3E27" w:rsidRDefault="00CC3E27" w:rsidP="00CC3E27">
            <w:pPr>
              <w:rPr>
                <w:rFonts w:eastAsia="Calibri" w:cs="Arial"/>
                <w:i/>
                <w:szCs w:val="24"/>
              </w:rPr>
            </w:pPr>
            <w:r w:rsidRPr="006D5A61">
              <w:rPr>
                <w:rFonts w:eastAsia="Calibri" w:cs="Arial"/>
                <w:i/>
                <w:szCs w:val="24"/>
              </w:rPr>
              <w:t>The economic case determines whether the scheme demonstrates value for money. It presents evidence on the impact of the scheme on the economy as well as its environmental, social and spatial impacts.</w:t>
            </w:r>
            <w:r>
              <w:rPr>
                <w:rFonts w:eastAsia="Calibri" w:cs="Arial"/>
                <w:i/>
                <w:szCs w:val="24"/>
              </w:rPr>
              <w:t xml:space="preserve"> For projects requesting over £5m of SELEP directed funding, a full economic appraisal should be undertaken and supplied alongside this application form.</w:t>
            </w:r>
          </w:p>
          <w:p w:rsidR="00CC3E27" w:rsidRPr="00065AC7" w:rsidRDefault="00CC3E27" w:rsidP="006D5A61">
            <w:pPr>
              <w:rPr>
                <w:i/>
              </w:rPr>
            </w:pPr>
          </w:p>
        </w:tc>
      </w:tr>
      <w:tr w:rsidR="001F21AB" w:rsidTr="001F21AB">
        <w:tc>
          <w:tcPr>
            <w:tcW w:w="1839" w:type="dxa"/>
            <w:shd w:val="clear" w:color="auto" w:fill="4BACC6" w:themeFill="accent5"/>
          </w:tcPr>
          <w:p w:rsidR="00FA5D2A" w:rsidRPr="00685C6D" w:rsidRDefault="006D5A61" w:rsidP="00B34F20">
            <w:pPr>
              <w:pStyle w:val="ListParagraph"/>
              <w:numPr>
                <w:ilvl w:val="1"/>
                <w:numId w:val="1"/>
              </w:numPr>
              <w:ind w:left="601" w:hanging="567"/>
              <w:rPr>
                <w:b/>
                <w:color w:val="FFFFFF" w:themeColor="background1"/>
              </w:rPr>
            </w:pPr>
            <w:r>
              <w:rPr>
                <w:b/>
                <w:color w:val="FFFFFF" w:themeColor="background1"/>
              </w:rPr>
              <w:t>Impact Assessment</w:t>
            </w:r>
          </w:p>
        </w:tc>
        <w:tc>
          <w:tcPr>
            <w:tcW w:w="8509" w:type="dxa"/>
          </w:tcPr>
          <w:p w:rsidR="006D5A61" w:rsidRDefault="006D5A61" w:rsidP="006D5A61">
            <w:pPr>
              <w:rPr>
                <w:i/>
              </w:rPr>
            </w:pPr>
            <w:r w:rsidRPr="00065AC7">
              <w:rPr>
                <w:i/>
              </w:rPr>
              <w:t xml:space="preserve">Please provide a description of the impact assessment of the </w:t>
            </w:r>
            <w:r>
              <w:rPr>
                <w:i/>
              </w:rPr>
              <w:t>scheme with some narrative as to why other options have been discounted</w:t>
            </w:r>
            <w:r w:rsidRPr="00065AC7">
              <w:rPr>
                <w:i/>
              </w:rPr>
              <w:t>.</w:t>
            </w:r>
          </w:p>
          <w:p w:rsidR="006D5A61" w:rsidRDefault="006D5A61" w:rsidP="006D5A61">
            <w:pPr>
              <w:rPr>
                <w:i/>
              </w:rPr>
            </w:pPr>
          </w:p>
          <w:p w:rsidR="00FA5D2A" w:rsidRDefault="006D5A61" w:rsidP="006D5A61">
            <w:pPr>
              <w:rPr>
                <w:i/>
              </w:rPr>
            </w:pPr>
            <w:r>
              <w:rPr>
                <w:i/>
              </w:rPr>
              <w:t>This should include a list of significant positive and negative impacts and a</w:t>
            </w:r>
            <w:r w:rsidRPr="00065AC7">
              <w:rPr>
                <w:i/>
              </w:rPr>
              <w:t xml:space="preserve"> short description of the modelling approach used to forecast the impact of the scheme and the checks that have been undertaken to ensure that the approach taken is fit for purpose. </w:t>
            </w:r>
          </w:p>
          <w:p w:rsidR="005769DE" w:rsidRDefault="005769DE" w:rsidP="006D5A61">
            <w:pPr>
              <w:rPr>
                <w:i/>
              </w:rPr>
            </w:pPr>
          </w:p>
          <w:p w:rsidR="005769DE" w:rsidRPr="005769DE" w:rsidRDefault="005769DE" w:rsidP="006D5A61">
            <w:r>
              <w:t>A list of significant positive and negative impacts of the scheme is presented below:</w:t>
            </w:r>
          </w:p>
          <w:p w:rsidR="006D5A61" w:rsidRDefault="006D5A61" w:rsidP="006D5A61">
            <w:pPr>
              <w:rPr>
                <w:rFonts w:cstheme="minorHAnsi"/>
              </w:rPr>
            </w:pPr>
          </w:p>
          <w:tbl>
            <w:tblPr>
              <w:tblStyle w:val="TableGrid"/>
              <w:tblW w:w="0" w:type="auto"/>
              <w:tblLook w:val="04A0"/>
            </w:tblPr>
            <w:tblGrid>
              <w:gridCol w:w="3778"/>
              <w:gridCol w:w="3362"/>
            </w:tblGrid>
            <w:tr w:rsidR="006D5A61" w:rsidTr="005769DE">
              <w:tc>
                <w:tcPr>
                  <w:tcW w:w="3778" w:type="dxa"/>
                </w:tcPr>
                <w:p w:rsidR="006D5A61" w:rsidRDefault="006D5A61" w:rsidP="009167BF">
                  <w:r>
                    <w:t>Positive impacts (inc. jobs &amp; homes)</w:t>
                  </w:r>
                </w:p>
              </w:tc>
              <w:tc>
                <w:tcPr>
                  <w:tcW w:w="3362" w:type="dxa"/>
                </w:tcPr>
                <w:p w:rsidR="006D5A61" w:rsidRDefault="006D5A61" w:rsidP="009167BF">
                  <w:r>
                    <w:t>Negative impacts</w:t>
                  </w:r>
                </w:p>
              </w:tc>
            </w:tr>
            <w:tr w:rsidR="006D5A61" w:rsidTr="005769DE">
              <w:tc>
                <w:tcPr>
                  <w:tcW w:w="3778" w:type="dxa"/>
                </w:tcPr>
                <w:p w:rsidR="006D5A61" w:rsidRDefault="005769DE" w:rsidP="009167BF">
                  <w:r>
                    <w:t>New high value permanent and additional jobs on the plots directly unlocked by the phase 1 infrastructure scheme</w:t>
                  </w:r>
                </w:p>
              </w:tc>
              <w:tc>
                <w:tcPr>
                  <w:tcW w:w="3362" w:type="dxa"/>
                </w:tcPr>
                <w:p w:rsidR="006D5A61" w:rsidRDefault="005769DE" w:rsidP="009167BF">
                  <w:r>
                    <w:t>Potential environmental dis-benefits associated with the development of a greenfield site (although this will be mitigated as far as possible through the design/delivery process</w:t>
                  </w:r>
                  <w:r w:rsidR="00192675">
                    <w:t xml:space="preserve"> and has already been tested through the JAAP process). </w:t>
                  </w:r>
                </w:p>
              </w:tc>
            </w:tr>
            <w:tr w:rsidR="006D5A61" w:rsidTr="005769DE">
              <w:tc>
                <w:tcPr>
                  <w:tcW w:w="3778" w:type="dxa"/>
                </w:tcPr>
                <w:p w:rsidR="006D5A61" w:rsidRDefault="005769DE" w:rsidP="009167BF">
                  <w:r>
                    <w:t>Construction jobs created through the delivery of the infrastructure works and subsequent development of commercial floorspace</w:t>
                  </w:r>
                </w:p>
              </w:tc>
              <w:tc>
                <w:tcPr>
                  <w:tcW w:w="3362" w:type="dxa"/>
                </w:tcPr>
                <w:p w:rsidR="006D5A61" w:rsidRDefault="007164DD" w:rsidP="009167BF">
                  <w:r>
                    <w:t>Additional traffic on the local road network (although this is mitigated by recent highways investments which have been implemented to facilitate the development of the ABP site</w:t>
                  </w:r>
                  <w:r w:rsidR="00192675">
                    <w:t xml:space="preserve"> and has already been tested through the JAAP process</w:t>
                  </w:r>
                  <w:r>
                    <w:t xml:space="preserve">). </w:t>
                  </w:r>
                </w:p>
              </w:tc>
            </w:tr>
            <w:tr w:rsidR="006D5A61" w:rsidTr="005769DE">
              <w:tc>
                <w:tcPr>
                  <w:tcW w:w="3778" w:type="dxa"/>
                </w:tcPr>
                <w:p w:rsidR="006D5A61" w:rsidRDefault="005769DE" w:rsidP="009167BF">
                  <w:r>
                    <w:t>Additional GVA generated by the employment activity</w:t>
                  </w:r>
                </w:p>
              </w:tc>
              <w:tc>
                <w:tcPr>
                  <w:tcW w:w="3362" w:type="dxa"/>
                </w:tcPr>
                <w:p w:rsidR="006D5A61" w:rsidRDefault="006D5A61" w:rsidP="009167BF"/>
              </w:tc>
            </w:tr>
            <w:tr w:rsidR="005769DE" w:rsidTr="005769DE">
              <w:tc>
                <w:tcPr>
                  <w:tcW w:w="3778" w:type="dxa"/>
                </w:tcPr>
                <w:p w:rsidR="005769DE" w:rsidRDefault="005769DE" w:rsidP="009167BF">
                  <w:r>
                    <w:t>New skills and training opportunities created through the new commercial activity</w:t>
                  </w:r>
                </w:p>
              </w:tc>
              <w:tc>
                <w:tcPr>
                  <w:tcW w:w="3362" w:type="dxa"/>
                </w:tcPr>
                <w:p w:rsidR="005769DE" w:rsidRDefault="005769DE" w:rsidP="009167BF"/>
              </w:tc>
            </w:tr>
            <w:tr w:rsidR="005769DE" w:rsidTr="005769DE">
              <w:tc>
                <w:tcPr>
                  <w:tcW w:w="3778" w:type="dxa"/>
                </w:tcPr>
                <w:p w:rsidR="005769DE" w:rsidRDefault="005769DE" w:rsidP="005769DE">
                  <w:r>
                    <w:t xml:space="preserve">Provision of </w:t>
                  </w:r>
                  <w:r w:rsidR="00A85C5E">
                    <w:t xml:space="preserve">site </w:t>
                  </w:r>
                  <w:r>
                    <w:t xml:space="preserve">access to unlock the former brickworks site immediately to the north of the business park site for a further 20,000 sqm of high value office based development </w:t>
                  </w:r>
                  <w:r w:rsidR="00A85C5E">
                    <w:t>(note this site is in third party ownership)</w:t>
                  </w:r>
                </w:p>
              </w:tc>
              <w:tc>
                <w:tcPr>
                  <w:tcW w:w="3362" w:type="dxa"/>
                </w:tcPr>
                <w:p w:rsidR="005769DE" w:rsidRDefault="005769DE" w:rsidP="009167BF"/>
              </w:tc>
            </w:tr>
            <w:tr w:rsidR="005769DE" w:rsidTr="005769DE">
              <w:tc>
                <w:tcPr>
                  <w:tcW w:w="3778" w:type="dxa"/>
                </w:tcPr>
                <w:p w:rsidR="005769DE" w:rsidRDefault="005769DE" w:rsidP="005769DE">
                  <w:r>
                    <w:t xml:space="preserve">Provision of a new high quality rugby club facility </w:t>
                  </w:r>
                </w:p>
              </w:tc>
              <w:tc>
                <w:tcPr>
                  <w:tcW w:w="3362" w:type="dxa"/>
                </w:tcPr>
                <w:p w:rsidR="005769DE" w:rsidRDefault="005769DE" w:rsidP="009167BF"/>
              </w:tc>
            </w:tr>
            <w:tr w:rsidR="007164DD" w:rsidTr="005769DE">
              <w:tc>
                <w:tcPr>
                  <w:tcW w:w="3778" w:type="dxa"/>
                </w:tcPr>
                <w:p w:rsidR="007164DD" w:rsidRDefault="007164DD" w:rsidP="005769DE">
                  <w:r>
                    <w:t>Unlocking the potential for the wider development of the ABP site</w:t>
                  </w:r>
                </w:p>
              </w:tc>
              <w:tc>
                <w:tcPr>
                  <w:tcW w:w="3362" w:type="dxa"/>
                </w:tcPr>
                <w:p w:rsidR="007164DD" w:rsidRDefault="007164DD" w:rsidP="009167BF"/>
              </w:tc>
            </w:tr>
          </w:tbl>
          <w:p w:rsidR="006D5A61" w:rsidRDefault="006D5A61" w:rsidP="006D5A61">
            <w:pPr>
              <w:rPr>
                <w:rFonts w:cstheme="minorHAnsi"/>
              </w:rPr>
            </w:pPr>
          </w:p>
          <w:p w:rsidR="00E90CC1" w:rsidRDefault="004D785E" w:rsidP="004D785E">
            <w:pPr>
              <w:jc w:val="both"/>
              <w:rPr>
                <w:rFonts w:cstheme="minorHAnsi"/>
              </w:rPr>
            </w:pPr>
            <w:r w:rsidRPr="004D785E">
              <w:rPr>
                <w:rFonts w:cstheme="minorHAnsi"/>
              </w:rPr>
              <w:t xml:space="preserve">Descriptions of the various alternative intervention options, including a do-nothing, no-LGF scenario, are set out in section 2.9 above. The outputs and impacts of the preferred option are presented in sections 3.2 and 3.3 below. </w:t>
            </w:r>
            <w:r>
              <w:rPr>
                <w:rFonts w:cstheme="minorHAnsi"/>
              </w:rPr>
              <w:t xml:space="preserve">The preferred option is to secure £3.2m of LGF funding to facilitate the delivery of a phase 1 infrastructure scheme which will unlock the first phase of development on the Airport Business Park site, to provide </w:t>
            </w:r>
            <w:r w:rsidR="00A85C5E">
              <w:rPr>
                <w:rFonts w:cstheme="minorHAnsi"/>
              </w:rPr>
              <w:t>22,000</w:t>
            </w:r>
            <w:r>
              <w:rPr>
                <w:rFonts w:cstheme="minorHAnsi"/>
              </w:rPr>
              <w:t xml:space="preserve"> sqm of new commercial floorspace, largely focused on high quality B1 office a</w:t>
            </w:r>
            <w:r w:rsidR="00630DDD">
              <w:rPr>
                <w:rFonts w:cstheme="minorHAnsi"/>
              </w:rPr>
              <w:t xml:space="preserve">ccommodation as well as a new 100 </w:t>
            </w:r>
            <w:r>
              <w:rPr>
                <w:rFonts w:cstheme="minorHAnsi"/>
              </w:rPr>
              <w:t xml:space="preserve">bed hotel at the gateway to this strategic employment site. </w:t>
            </w:r>
            <w:r w:rsidR="00AA21F0">
              <w:rPr>
                <w:rFonts w:cstheme="minorHAnsi"/>
              </w:rPr>
              <w:t xml:space="preserve">Under the do-nothing </w:t>
            </w:r>
            <w:r w:rsidR="00AA21F0">
              <w:rPr>
                <w:rFonts w:cstheme="minorHAnsi"/>
              </w:rPr>
              <w:lastRenderedPageBreak/>
              <w:t xml:space="preserve">no LGF scenario, as outlined above, it is assumed that no economic outputs will come forward. </w:t>
            </w:r>
          </w:p>
          <w:p w:rsidR="004D785E" w:rsidRDefault="004D785E" w:rsidP="004D785E">
            <w:pPr>
              <w:jc w:val="both"/>
              <w:rPr>
                <w:rFonts w:cstheme="minorHAnsi"/>
              </w:rPr>
            </w:pPr>
          </w:p>
          <w:p w:rsidR="003B57EE" w:rsidRPr="00D73E6D" w:rsidRDefault="004D785E" w:rsidP="004A6A0F">
            <w:pPr>
              <w:jc w:val="both"/>
              <w:rPr>
                <w:rFonts w:cstheme="minorHAnsi"/>
              </w:rPr>
            </w:pPr>
            <w:r>
              <w:rPr>
                <w:rFonts w:cstheme="minorHAnsi"/>
              </w:rPr>
              <w:t xml:space="preserve">The economic impacts associated with this scheme have been calculated using in accordance with best practice guidance as per the HMT Green Book. Outputs are principally based on metrics within the HCA’s Employment Density and Additionality Guides and data from ONS/BRES and OffPAT has also been applied and referenced accordingly. </w:t>
            </w:r>
            <w:r w:rsidR="004A6A0F">
              <w:rPr>
                <w:rFonts w:cstheme="minorHAnsi"/>
              </w:rPr>
              <w:t xml:space="preserve">This is a ‘tried and tested’ approach to the modelling of likely economic benefits associated with a physical development project of this nature. </w:t>
            </w:r>
          </w:p>
        </w:tc>
      </w:tr>
      <w:tr w:rsidR="001F21AB" w:rsidTr="001F21AB">
        <w:tc>
          <w:tcPr>
            <w:tcW w:w="1839" w:type="dxa"/>
            <w:shd w:val="clear" w:color="auto" w:fill="4BACC6" w:themeFill="accent5"/>
          </w:tcPr>
          <w:p w:rsidR="00FA5D2A" w:rsidRDefault="006D5A61" w:rsidP="00B34F20">
            <w:pPr>
              <w:pStyle w:val="ListParagraph"/>
              <w:numPr>
                <w:ilvl w:val="1"/>
                <w:numId w:val="1"/>
              </w:numPr>
              <w:ind w:left="601" w:hanging="567"/>
              <w:rPr>
                <w:b/>
                <w:color w:val="FFFFFF" w:themeColor="background1"/>
              </w:rPr>
            </w:pPr>
            <w:r>
              <w:rPr>
                <w:b/>
                <w:color w:val="FFFFFF" w:themeColor="background1"/>
              </w:rPr>
              <w:lastRenderedPageBreak/>
              <w:t>Outputs</w:t>
            </w:r>
          </w:p>
          <w:p w:rsidR="006D5A61" w:rsidRPr="006D5A61" w:rsidRDefault="006D5A61" w:rsidP="00B34F20">
            <w:pPr>
              <w:ind w:left="601" w:hanging="567"/>
              <w:rPr>
                <w:b/>
                <w:color w:val="FFFFFF" w:themeColor="background1"/>
              </w:rPr>
            </w:pPr>
          </w:p>
        </w:tc>
        <w:tc>
          <w:tcPr>
            <w:tcW w:w="8509" w:type="dxa"/>
          </w:tcPr>
          <w:p w:rsidR="00FA5D2A" w:rsidRDefault="006D5A61" w:rsidP="006D5A61">
            <w:pPr>
              <w:ind w:left="33" w:hanging="33"/>
              <w:rPr>
                <w:b/>
                <w:i/>
              </w:rPr>
            </w:pPr>
            <w:r>
              <w:rPr>
                <w:i/>
              </w:rPr>
              <w:t>Identify jobs, floor space and housing starts connected to the intervention, quantify the outputs in tabular format and provide a short narrative for each theme (i.e. jobs/homes/floorspace) explaining how the project will support the number identified</w:t>
            </w:r>
            <w:r w:rsidR="00FC53B9">
              <w:rPr>
                <w:i/>
              </w:rPr>
              <w:t xml:space="preserve">. </w:t>
            </w:r>
            <w:r w:rsidR="00FC53B9" w:rsidRPr="00FC53B9">
              <w:rPr>
                <w:b/>
                <w:i/>
              </w:rPr>
              <w:t>Please describe the methodology used for calculating jobs and homes numbers.</w:t>
            </w:r>
          </w:p>
          <w:p w:rsidR="004A6A0F" w:rsidRDefault="004A6A0F" w:rsidP="006D5A61">
            <w:pPr>
              <w:ind w:left="33" w:hanging="33"/>
              <w:rPr>
                <w:i/>
              </w:rPr>
            </w:pPr>
          </w:p>
          <w:p w:rsidR="004A6A0F" w:rsidRDefault="004A6A0F" w:rsidP="00EC1C0C">
            <w:pPr>
              <w:ind w:left="33" w:hanging="33"/>
              <w:jc w:val="both"/>
            </w:pPr>
            <w:r>
              <w:t xml:space="preserve">As requested, a full economic appraisal has been undertaken to demonstrate the economic impacts and value for money of the preferred option against a reference case ‘no LGF’ scenario. </w:t>
            </w:r>
            <w:r w:rsidR="00B16197">
              <w:t xml:space="preserve">Under the no-LGF scenario, as explained in section 2.9 above, it is assumed that no economic outputs would come forward on the basis that LGF funding is needed to deliver the required offsite infrastructure works to unlock a phase 1 </w:t>
            </w:r>
            <w:r w:rsidR="00EC1C0C">
              <w:t xml:space="preserve">development scheme. </w:t>
            </w:r>
          </w:p>
          <w:p w:rsidR="004A6A0F" w:rsidRDefault="004A6A0F" w:rsidP="00EC1C0C">
            <w:pPr>
              <w:ind w:left="33" w:hanging="33"/>
              <w:jc w:val="both"/>
            </w:pPr>
          </w:p>
          <w:p w:rsidR="004A6A0F" w:rsidRPr="004A6A0F" w:rsidRDefault="004A6A0F" w:rsidP="00EC1C0C">
            <w:pPr>
              <w:ind w:left="33" w:hanging="33"/>
              <w:jc w:val="both"/>
            </w:pPr>
            <w:r>
              <w:t>It is assumed that the proposed phase 1 infrastructure scheme for which LGF funding is being sought to enable delivery will unlock a phase 1 development site on the ABP site. The economic impacts of this are assumed to therefore be ‘indirect’ benefits of the LGF investment rather than ‘direct’ given that at this stage of the scheme development process, we cannot contract against the delivery of these until further certainty of their realisation (i.e. through contractual agreements with occupiers to commit to occupy floorspace on agreed lease/purchase terms) is secured. The project will deliver ‘direct’ construction outputs through the delive</w:t>
            </w:r>
            <w:r w:rsidR="00AD24D5">
              <w:t xml:space="preserve">ry of the infrastructure works and further ‘indirect’ construction jobs through the subsequent construction of the commercial floorspace. </w:t>
            </w:r>
          </w:p>
          <w:p w:rsidR="00F67EF1" w:rsidRDefault="00F67EF1" w:rsidP="006D5A61">
            <w:pPr>
              <w:ind w:left="33" w:hanging="33"/>
              <w:rPr>
                <w:b/>
              </w:rPr>
            </w:pPr>
          </w:p>
          <w:p w:rsidR="00E90CC1" w:rsidRDefault="00E90CC1" w:rsidP="00E90CC1">
            <w:pPr>
              <w:rPr>
                <w:rFonts w:cstheme="minorHAnsi"/>
                <w:b/>
              </w:rPr>
            </w:pPr>
            <w:r>
              <w:rPr>
                <w:rFonts w:cstheme="minorHAnsi"/>
                <w:b/>
              </w:rPr>
              <w:t xml:space="preserve">Preferred Option - </w:t>
            </w:r>
            <w:r w:rsidR="00D253DC">
              <w:rPr>
                <w:rFonts w:cstheme="minorHAnsi"/>
                <w:b/>
              </w:rPr>
              <w:t>Gross employment – methodology and key</w:t>
            </w:r>
            <w:r w:rsidRPr="00E90CC1">
              <w:rPr>
                <w:rFonts w:cstheme="minorHAnsi"/>
                <w:b/>
              </w:rPr>
              <w:t xml:space="preserve"> assumptions</w:t>
            </w:r>
          </w:p>
          <w:p w:rsidR="0024376E" w:rsidRDefault="0024376E" w:rsidP="00E90CC1">
            <w:pPr>
              <w:rPr>
                <w:rFonts w:cstheme="minorHAnsi"/>
                <w:b/>
              </w:rPr>
            </w:pPr>
          </w:p>
          <w:p w:rsidR="008B2BEC" w:rsidRPr="008B2BEC" w:rsidRDefault="008B2BEC" w:rsidP="00E90CC1">
            <w:pPr>
              <w:rPr>
                <w:rFonts w:cstheme="minorHAnsi"/>
                <w:b/>
                <w:i/>
              </w:rPr>
            </w:pPr>
            <w:r w:rsidRPr="008B2BEC">
              <w:rPr>
                <w:rFonts w:cstheme="minorHAnsi"/>
                <w:b/>
                <w:i/>
              </w:rPr>
              <w:t xml:space="preserve">Commercial Floorspace </w:t>
            </w:r>
          </w:p>
          <w:p w:rsidR="008B2BEC" w:rsidRDefault="008B2BEC" w:rsidP="00E90CC1">
            <w:pPr>
              <w:rPr>
                <w:rFonts w:cstheme="minorHAnsi"/>
                <w:b/>
              </w:rPr>
            </w:pPr>
          </w:p>
          <w:p w:rsidR="00D253DC" w:rsidRDefault="004D5A55" w:rsidP="00AD24D5">
            <w:pPr>
              <w:jc w:val="both"/>
              <w:rPr>
                <w:rFonts w:cstheme="minorHAnsi"/>
              </w:rPr>
            </w:pPr>
            <w:r>
              <w:rPr>
                <w:rFonts w:cstheme="minorHAnsi"/>
              </w:rPr>
              <w:t>Phase 1 c</w:t>
            </w:r>
            <w:r w:rsidR="00D253DC">
              <w:rPr>
                <w:rFonts w:cstheme="minorHAnsi"/>
              </w:rPr>
              <w:t xml:space="preserve">ommercial floorspace areas have been taken from the latest scheme masterplan for the site as a whole, as prepared </w:t>
            </w:r>
            <w:r>
              <w:rPr>
                <w:rFonts w:cstheme="minorHAnsi"/>
              </w:rPr>
              <w:t xml:space="preserve">by Jefferson Sheard Architects. This provides the following site areas </w:t>
            </w:r>
            <w:r w:rsidR="008B2BEC">
              <w:rPr>
                <w:rFonts w:cstheme="minorHAnsi"/>
              </w:rPr>
              <w:t xml:space="preserve">by use type across both phases for the site development as a whole. For the purposes of this phase 1 infrastructure scheme, only the phase 1 site outputs have been attributed </w:t>
            </w:r>
            <w:r w:rsidR="004F7159">
              <w:rPr>
                <w:rFonts w:cstheme="minorHAnsi"/>
              </w:rPr>
              <w:t xml:space="preserve">as benefits to the LGF investment </w:t>
            </w:r>
            <w:r w:rsidR="008B2BEC">
              <w:rPr>
                <w:rFonts w:cstheme="minorHAnsi"/>
              </w:rPr>
              <w:t xml:space="preserve">given that the wider phase 2 outputs will be reliant upon additional infrastructure investments (the Council is intending to submit a separate business case for further LGF funding to facilitate this in the next round of Growth Deal funding). </w:t>
            </w:r>
          </w:p>
          <w:p w:rsidR="004D5A55" w:rsidRDefault="004D5A55" w:rsidP="00AD24D5">
            <w:pPr>
              <w:jc w:val="both"/>
              <w:rPr>
                <w:rFonts w:cstheme="minorHAnsi"/>
              </w:rPr>
            </w:pPr>
          </w:p>
          <w:tbl>
            <w:tblPr>
              <w:tblStyle w:val="TableGrid"/>
              <w:tblW w:w="0" w:type="auto"/>
              <w:tblLook w:val="04A0"/>
            </w:tblPr>
            <w:tblGrid>
              <w:gridCol w:w="3353"/>
              <w:gridCol w:w="3827"/>
            </w:tblGrid>
            <w:tr w:rsidR="004D5A55" w:rsidTr="008B2BEC">
              <w:tc>
                <w:tcPr>
                  <w:tcW w:w="3353" w:type="dxa"/>
                </w:tcPr>
                <w:p w:rsidR="004D5A55" w:rsidRPr="008B2BEC" w:rsidRDefault="004D5A55" w:rsidP="00AD24D5">
                  <w:pPr>
                    <w:jc w:val="both"/>
                    <w:rPr>
                      <w:rFonts w:cstheme="minorHAnsi"/>
                      <w:b/>
                    </w:rPr>
                  </w:pPr>
                  <w:r w:rsidRPr="008B2BEC">
                    <w:rPr>
                      <w:rFonts w:cstheme="minorHAnsi"/>
                      <w:b/>
                    </w:rPr>
                    <w:t>Use type</w:t>
                  </w:r>
                </w:p>
              </w:tc>
              <w:tc>
                <w:tcPr>
                  <w:tcW w:w="3827" w:type="dxa"/>
                </w:tcPr>
                <w:p w:rsidR="004D5A55" w:rsidRPr="008B2BEC" w:rsidRDefault="004D5A55" w:rsidP="00AD24D5">
                  <w:pPr>
                    <w:jc w:val="both"/>
                    <w:rPr>
                      <w:rFonts w:cstheme="minorHAnsi"/>
                      <w:b/>
                    </w:rPr>
                  </w:pPr>
                  <w:r w:rsidRPr="008B2BEC">
                    <w:rPr>
                      <w:rFonts w:cstheme="minorHAnsi"/>
                      <w:b/>
                    </w:rPr>
                    <w:t>Floorspace (</w:t>
                  </w:r>
                  <w:r w:rsidR="008B2BEC" w:rsidRPr="008B2BEC">
                    <w:rPr>
                      <w:rFonts w:cstheme="minorHAnsi"/>
                      <w:b/>
                    </w:rPr>
                    <w:t>GIA) (</w:t>
                  </w:r>
                  <w:r w:rsidRPr="008B2BEC">
                    <w:rPr>
                      <w:rFonts w:cstheme="minorHAnsi"/>
                      <w:b/>
                    </w:rPr>
                    <w:t>sqm)</w:t>
                  </w:r>
                </w:p>
              </w:tc>
            </w:tr>
            <w:tr w:rsidR="004D5A55" w:rsidTr="008B2BEC">
              <w:tc>
                <w:tcPr>
                  <w:tcW w:w="3353" w:type="dxa"/>
                </w:tcPr>
                <w:p w:rsidR="004D5A55" w:rsidRPr="004D5A55" w:rsidRDefault="004D5A55" w:rsidP="00AD24D5">
                  <w:pPr>
                    <w:jc w:val="both"/>
                    <w:rPr>
                      <w:rFonts w:cstheme="minorHAnsi"/>
                      <w:b/>
                      <w:i/>
                    </w:rPr>
                  </w:pPr>
                  <w:r w:rsidRPr="004D5A55">
                    <w:rPr>
                      <w:rFonts w:cstheme="minorHAnsi"/>
                      <w:b/>
                      <w:i/>
                    </w:rPr>
                    <w:t>Phase 1</w:t>
                  </w:r>
                  <w:r w:rsidR="008B2BEC">
                    <w:rPr>
                      <w:rFonts w:cstheme="minorHAnsi"/>
                      <w:b/>
                      <w:i/>
                    </w:rPr>
                    <w:t xml:space="preserve"> (plots 2,3,4,</w:t>
                  </w:r>
                  <w:r w:rsidR="00A85C5E">
                    <w:rPr>
                      <w:rFonts w:cstheme="minorHAnsi"/>
                      <w:b/>
                      <w:i/>
                    </w:rPr>
                    <w:t>14,15,</w:t>
                  </w:r>
                  <w:r w:rsidR="008B2BEC">
                    <w:rPr>
                      <w:rFonts w:cstheme="minorHAnsi"/>
                      <w:b/>
                      <w:i/>
                    </w:rPr>
                    <w:t>16)</w:t>
                  </w:r>
                </w:p>
              </w:tc>
              <w:tc>
                <w:tcPr>
                  <w:tcW w:w="3827" w:type="dxa"/>
                </w:tcPr>
                <w:p w:rsidR="004D5A55" w:rsidRDefault="004D5A55" w:rsidP="00AD24D5">
                  <w:pPr>
                    <w:jc w:val="both"/>
                    <w:rPr>
                      <w:rFonts w:cstheme="minorHAnsi"/>
                    </w:rPr>
                  </w:pPr>
                </w:p>
              </w:tc>
            </w:tr>
            <w:tr w:rsidR="004D5A55" w:rsidTr="008B2BEC">
              <w:tc>
                <w:tcPr>
                  <w:tcW w:w="3353" w:type="dxa"/>
                </w:tcPr>
                <w:p w:rsidR="004D5A55" w:rsidRDefault="004D5A55" w:rsidP="00AD24D5">
                  <w:pPr>
                    <w:jc w:val="both"/>
                    <w:rPr>
                      <w:rFonts w:cstheme="minorHAnsi"/>
                    </w:rPr>
                  </w:pPr>
                  <w:r>
                    <w:rPr>
                      <w:rFonts w:cstheme="minorHAnsi"/>
                    </w:rPr>
                    <w:t>B1</w:t>
                  </w:r>
                </w:p>
              </w:tc>
              <w:tc>
                <w:tcPr>
                  <w:tcW w:w="3827" w:type="dxa"/>
                </w:tcPr>
                <w:p w:rsidR="004D5A55" w:rsidRDefault="00A85C5E" w:rsidP="00AD24D5">
                  <w:pPr>
                    <w:jc w:val="both"/>
                    <w:rPr>
                      <w:rFonts w:cstheme="minorHAnsi"/>
                    </w:rPr>
                  </w:pPr>
                  <w:r>
                    <w:rPr>
                      <w:rFonts w:cstheme="minorHAnsi"/>
                    </w:rPr>
                    <w:t>17,514</w:t>
                  </w:r>
                </w:p>
              </w:tc>
            </w:tr>
            <w:tr w:rsidR="004D5A55" w:rsidTr="008B2BEC">
              <w:tc>
                <w:tcPr>
                  <w:tcW w:w="3353" w:type="dxa"/>
                </w:tcPr>
                <w:p w:rsidR="004D5A55" w:rsidRDefault="004D5A55" w:rsidP="008B2BEC">
                  <w:pPr>
                    <w:jc w:val="both"/>
                    <w:rPr>
                      <w:rFonts w:cstheme="minorHAnsi"/>
                    </w:rPr>
                  </w:pPr>
                  <w:r>
                    <w:rPr>
                      <w:rFonts w:cstheme="minorHAnsi"/>
                    </w:rPr>
                    <w:t xml:space="preserve">C1 </w:t>
                  </w:r>
                  <w:r w:rsidR="008B2BEC">
                    <w:rPr>
                      <w:rFonts w:cstheme="minorHAnsi"/>
                    </w:rPr>
                    <w:t>(hotel)</w:t>
                  </w:r>
                </w:p>
              </w:tc>
              <w:tc>
                <w:tcPr>
                  <w:tcW w:w="3827" w:type="dxa"/>
                </w:tcPr>
                <w:p w:rsidR="004D5A55" w:rsidRDefault="008B2BEC" w:rsidP="00AD24D5">
                  <w:pPr>
                    <w:jc w:val="both"/>
                    <w:rPr>
                      <w:rFonts w:cstheme="minorHAnsi"/>
                    </w:rPr>
                  </w:pPr>
                  <w:r>
                    <w:rPr>
                      <w:rFonts w:cstheme="minorHAnsi"/>
                    </w:rPr>
                    <w:t>4,896</w:t>
                  </w:r>
                </w:p>
              </w:tc>
            </w:tr>
            <w:tr w:rsidR="004D5A55" w:rsidTr="008B2BEC">
              <w:tc>
                <w:tcPr>
                  <w:tcW w:w="3353" w:type="dxa"/>
                </w:tcPr>
                <w:p w:rsidR="004D5A55" w:rsidRDefault="004D5A55" w:rsidP="00AD24D5">
                  <w:pPr>
                    <w:jc w:val="both"/>
                    <w:rPr>
                      <w:rFonts w:cstheme="minorHAnsi"/>
                    </w:rPr>
                  </w:pPr>
                  <w:r>
                    <w:rPr>
                      <w:rFonts w:cstheme="minorHAnsi"/>
                    </w:rPr>
                    <w:t>Sub-total</w:t>
                  </w:r>
                </w:p>
              </w:tc>
              <w:tc>
                <w:tcPr>
                  <w:tcW w:w="3827" w:type="dxa"/>
                </w:tcPr>
                <w:p w:rsidR="004D5A55" w:rsidRDefault="00A85C5E" w:rsidP="00AD24D5">
                  <w:pPr>
                    <w:jc w:val="both"/>
                    <w:rPr>
                      <w:rFonts w:cstheme="minorHAnsi"/>
                    </w:rPr>
                  </w:pPr>
                  <w:r>
                    <w:rPr>
                      <w:rFonts w:cstheme="minorHAnsi"/>
                    </w:rPr>
                    <w:t>22,410</w:t>
                  </w:r>
                </w:p>
              </w:tc>
            </w:tr>
            <w:tr w:rsidR="004D5A55" w:rsidTr="008B2BEC">
              <w:tc>
                <w:tcPr>
                  <w:tcW w:w="3353" w:type="dxa"/>
                </w:tcPr>
                <w:p w:rsidR="004D5A55" w:rsidRDefault="004D5A55" w:rsidP="00AD24D5">
                  <w:pPr>
                    <w:jc w:val="both"/>
                    <w:rPr>
                      <w:rFonts w:cstheme="minorHAnsi"/>
                    </w:rPr>
                  </w:pPr>
                </w:p>
              </w:tc>
              <w:tc>
                <w:tcPr>
                  <w:tcW w:w="3827" w:type="dxa"/>
                </w:tcPr>
                <w:p w:rsidR="004D5A55" w:rsidRDefault="004D5A55" w:rsidP="00AD24D5">
                  <w:pPr>
                    <w:jc w:val="both"/>
                    <w:rPr>
                      <w:rFonts w:cstheme="minorHAnsi"/>
                    </w:rPr>
                  </w:pPr>
                </w:p>
              </w:tc>
            </w:tr>
            <w:tr w:rsidR="004D5A55" w:rsidTr="008B2BEC">
              <w:tc>
                <w:tcPr>
                  <w:tcW w:w="3353" w:type="dxa"/>
                </w:tcPr>
                <w:p w:rsidR="004D5A55" w:rsidRPr="004D5A55" w:rsidRDefault="004D5A55" w:rsidP="00AD24D5">
                  <w:pPr>
                    <w:jc w:val="both"/>
                    <w:rPr>
                      <w:rFonts w:cstheme="minorHAnsi"/>
                      <w:b/>
                      <w:i/>
                    </w:rPr>
                  </w:pPr>
                  <w:r w:rsidRPr="004D5A55">
                    <w:rPr>
                      <w:rFonts w:cstheme="minorHAnsi"/>
                      <w:b/>
                      <w:i/>
                    </w:rPr>
                    <w:t>Phase 2</w:t>
                  </w:r>
                  <w:r w:rsidR="008B2BEC">
                    <w:rPr>
                      <w:rFonts w:cstheme="minorHAnsi"/>
                      <w:b/>
                      <w:i/>
                    </w:rPr>
                    <w:t xml:space="preserve"> (remaining plots)</w:t>
                  </w:r>
                </w:p>
              </w:tc>
              <w:tc>
                <w:tcPr>
                  <w:tcW w:w="3827" w:type="dxa"/>
                </w:tcPr>
                <w:p w:rsidR="004D5A55" w:rsidRDefault="004D5A55" w:rsidP="00AD24D5">
                  <w:pPr>
                    <w:jc w:val="both"/>
                    <w:rPr>
                      <w:rFonts w:cstheme="minorHAnsi"/>
                    </w:rPr>
                  </w:pPr>
                </w:p>
              </w:tc>
            </w:tr>
            <w:tr w:rsidR="004D5A55" w:rsidTr="008B2BEC">
              <w:tc>
                <w:tcPr>
                  <w:tcW w:w="3353" w:type="dxa"/>
                </w:tcPr>
                <w:p w:rsidR="004D5A55" w:rsidRDefault="008B2BEC" w:rsidP="00AD24D5">
                  <w:pPr>
                    <w:jc w:val="both"/>
                    <w:rPr>
                      <w:rFonts w:cstheme="minorHAnsi"/>
                    </w:rPr>
                  </w:pPr>
                  <w:r>
                    <w:rPr>
                      <w:rFonts w:cstheme="minorHAnsi"/>
                    </w:rPr>
                    <w:t>A1/A3/A4</w:t>
                  </w:r>
                </w:p>
              </w:tc>
              <w:tc>
                <w:tcPr>
                  <w:tcW w:w="3827" w:type="dxa"/>
                </w:tcPr>
                <w:p w:rsidR="004D5A55" w:rsidRDefault="008B2BEC" w:rsidP="00AD24D5">
                  <w:pPr>
                    <w:jc w:val="both"/>
                    <w:rPr>
                      <w:rFonts w:cstheme="minorHAnsi"/>
                    </w:rPr>
                  </w:pPr>
                  <w:r>
                    <w:rPr>
                      <w:rFonts w:cstheme="minorHAnsi"/>
                    </w:rPr>
                    <w:t>1,832</w:t>
                  </w:r>
                </w:p>
              </w:tc>
            </w:tr>
            <w:tr w:rsidR="004D5A55" w:rsidTr="008B2BEC">
              <w:tc>
                <w:tcPr>
                  <w:tcW w:w="3353" w:type="dxa"/>
                </w:tcPr>
                <w:p w:rsidR="004D5A55" w:rsidRDefault="008B2BEC" w:rsidP="00AD24D5">
                  <w:pPr>
                    <w:jc w:val="both"/>
                    <w:rPr>
                      <w:rFonts w:cstheme="minorHAnsi"/>
                    </w:rPr>
                  </w:pPr>
                  <w:r>
                    <w:rPr>
                      <w:rFonts w:cstheme="minorHAnsi"/>
                    </w:rPr>
                    <w:t>B1</w:t>
                  </w:r>
                </w:p>
              </w:tc>
              <w:tc>
                <w:tcPr>
                  <w:tcW w:w="3827" w:type="dxa"/>
                </w:tcPr>
                <w:p w:rsidR="004D5A55" w:rsidRDefault="00A85C5E" w:rsidP="00AD24D5">
                  <w:pPr>
                    <w:jc w:val="both"/>
                    <w:rPr>
                      <w:rFonts w:cstheme="minorHAnsi"/>
                    </w:rPr>
                  </w:pPr>
                  <w:r>
                    <w:rPr>
                      <w:rFonts w:cstheme="minorHAnsi"/>
                    </w:rPr>
                    <w:t>30,058</w:t>
                  </w:r>
                </w:p>
              </w:tc>
            </w:tr>
            <w:tr w:rsidR="004D5A55" w:rsidTr="008B2BEC">
              <w:tc>
                <w:tcPr>
                  <w:tcW w:w="3353" w:type="dxa"/>
                </w:tcPr>
                <w:p w:rsidR="004D5A55" w:rsidRDefault="008B2BEC" w:rsidP="00AD24D5">
                  <w:pPr>
                    <w:jc w:val="both"/>
                    <w:rPr>
                      <w:rFonts w:cstheme="minorHAnsi"/>
                    </w:rPr>
                  </w:pPr>
                  <w:r>
                    <w:rPr>
                      <w:rFonts w:cstheme="minorHAnsi"/>
                    </w:rPr>
                    <w:t>B2</w:t>
                  </w:r>
                </w:p>
              </w:tc>
              <w:tc>
                <w:tcPr>
                  <w:tcW w:w="3827" w:type="dxa"/>
                </w:tcPr>
                <w:p w:rsidR="004D5A55" w:rsidRDefault="008B2BEC" w:rsidP="00AD24D5">
                  <w:pPr>
                    <w:jc w:val="both"/>
                    <w:rPr>
                      <w:rFonts w:cstheme="minorHAnsi"/>
                    </w:rPr>
                  </w:pPr>
                  <w:r>
                    <w:rPr>
                      <w:rFonts w:cstheme="minorHAnsi"/>
                    </w:rPr>
                    <w:t>32,250</w:t>
                  </w:r>
                </w:p>
              </w:tc>
            </w:tr>
            <w:tr w:rsidR="004D5A55" w:rsidTr="008B2BEC">
              <w:tc>
                <w:tcPr>
                  <w:tcW w:w="3353" w:type="dxa"/>
                </w:tcPr>
                <w:p w:rsidR="004D5A55" w:rsidRDefault="008B2BEC" w:rsidP="00AD24D5">
                  <w:pPr>
                    <w:jc w:val="both"/>
                    <w:rPr>
                      <w:rFonts w:cstheme="minorHAnsi"/>
                    </w:rPr>
                  </w:pPr>
                  <w:r>
                    <w:rPr>
                      <w:rFonts w:cstheme="minorHAnsi"/>
                    </w:rPr>
                    <w:t>D1</w:t>
                  </w:r>
                </w:p>
              </w:tc>
              <w:tc>
                <w:tcPr>
                  <w:tcW w:w="3827" w:type="dxa"/>
                </w:tcPr>
                <w:p w:rsidR="004D5A55" w:rsidRDefault="008B2BEC" w:rsidP="00AD24D5">
                  <w:pPr>
                    <w:jc w:val="both"/>
                    <w:rPr>
                      <w:rFonts w:cstheme="minorHAnsi"/>
                    </w:rPr>
                  </w:pPr>
                  <w:r>
                    <w:rPr>
                      <w:rFonts w:cstheme="minorHAnsi"/>
                    </w:rPr>
                    <w:t>350</w:t>
                  </w:r>
                </w:p>
              </w:tc>
            </w:tr>
            <w:tr w:rsidR="008B2BEC" w:rsidTr="008B2BEC">
              <w:tc>
                <w:tcPr>
                  <w:tcW w:w="3353" w:type="dxa"/>
                </w:tcPr>
                <w:p w:rsidR="008B2BEC" w:rsidRDefault="008B2BEC" w:rsidP="00AD24D5">
                  <w:pPr>
                    <w:jc w:val="both"/>
                    <w:rPr>
                      <w:rFonts w:cstheme="minorHAnsi"/>
                    </w:rPr>
                  </w:pPr>
                  <w:r>
                    <w:rPr>
                      <w:rFonts w:cstheme="minorHAnsi"/>
                    </w:rPr>
                    <w:t>Sub-total</w:t>
                  </w:r>
                </w:p>
              </w:tc>
              <w:tc>
                <w:tcPr>
                  <w:tcW w:w="3827" w:type="dxa"/>
                </w:tcPr>
                <w:p w:rsidR="008B2BEC" w:rsidRDefault="00A85C5E" w:rsidP="00AD24D5">
                  <w:pPr>
                    <w:jc w:val="both"/>
                    <w:rPr>
                      <w:rFonts w:cstheme="minorHAnsi"/>
                    </w:rPr>
                  </w:pPr>
                  <w:r>
                    <w:rPr>
                      <w:rFonts w:cstheme="minorHAnsi"/>
                    </w:rPr>
                    <w:t>64,490</w:t>
                  </w:r>
                </w:p>
              </w:tc>
            </w:tr>
            <w:tr w:rsidR="008B2BEC" w:rsidTr="008B2BEC">
              <w:tc>
                <w:tcPr>
                  <w:tcW w:w="3353" w:type="dxa"/>
                </w:tcPr>
                <w:p w:rsidR="008B2BEC" w:rsidRDefault="008B2BEC" w:rsidP="00AD24D5">
                  <w:pPr>
                    <w:jc w:val="both"/>
                    <w:rPr>
                      <w:rFonts w:cstheme="minorHAnsi"/>
                    </w:rPr>
                  </w:pPr>
                </w:p>
              </w:tc>
              <w:tc>
                <w:tcPr>
                  <w:tcW w:w="3827" w:type="dxa"/>
                </w:tcPr>
                <w:p w:rsidR="008B2BEC" w:rsidRDefault="008B2BEC" w:rsidP="00AD24D5">
                  <w:pPr>
                    <w:jc w:val="both"/>
                    <w:rPr>
                      <w:rFonts w:cstheme="minorHAnsi"/>
                    </w:rPr>
                  </w:pPr>
                </w:p>
              </w:tc>
            </w:tr>
            <w:tr w:rsidR="008B2BEC" w:rsidTr="008B2BEC">
              <w:tc>
                <w:tcPr>
                  <w:tcW w:w="3353" w:type="dxa"/>
                </w:tcPr>
                <w:p w:rsidR="008B2BEC" w:rsidRPr="008B2BEC" w:rsidRDefault="008B2BEC" w:rsidP="00AD24D5">
                  <w:pPr>
                    <w:jc w:val="both"/>
                    <w:rPr>
                      <w:rFonts w:cstheme="minorHAnsi"/>
                      <w:b/>
                    </w:rPr>
                  </w:pPr>
                  <w:r w:rsidRPr="008B2BEC">
                    <w:rPr>
                      <w:rFonts w:cstheme="minorHAnsi"/>
                      <w:b/>
                    </w:rPr>
                    <w:t>Phase 1 and 2 total</w:t>
                  </w:r>
                </w:p>
              </w:tc>
              <w:tc>
                <w:tcPr>
                  <w:tcW w:w="3827" w:type="dxa"/>
                </w:tcPr>
                <w:p w:rsidR="008B2BEC" w:rsidRPr="008B2BEC" w:rsidRDefault="008B2BEC" w:rsidP="00AD24D5">
                  <w:pPr>
                    <w:jc w:val="both"/>
                    <w:rPr>
                      <w:rFonts w:cstheme="minorHAnsi"/>
                      <w:b/>
                    </w:rPr>
                  </w:pPr>
                  <w:r w:rsidRPr="008B2BEC">
                    <w:rPr>
                      <w:rFonts w:cstheme="minorHAnsi"/>
                      <w:b/>
                    </w:rPr>
                    <w:t>86,900</w:t>
                  </w:r>
                </w:p>
              </w:tc>
            </w:tr>
          </w:tbl>
          <w:p w:rsidR="004D5A55" w:rsidRDefault="004D5A55" w:rsidP="00AD24D5">
            <w:pPr>
              <w:jc w:val="both"/>
              <w:rPr>
                <w:rFonts w:cstheme="minorHAnsi"/>
              </w:rPr>
            </w:pPr>
          </w:p>
          <w:p w:rsidR="00D253DC" w:rsidRDefault="008B2BEC" w:rsidP="00AD24D5">
            <w:pPr>
              <w:jc w:val="both"/>
              <w:rPr>
                <w:rFonts w:cstheme="minorHAnsi"/>
                <w:b/>
                <w:i/>
              </w:rPr>
            </w:pPr>
            <w:r w:rsidRPr="008B2BEC">
              <w:rPr>
                <w:rFonts w:cstheme="minorHAnsi"/>
                <w:b/>
                <w:i/>
              </w:rPr>
              <w:t xml:space="preserve">Gross employment outputs </w:t>
            </w:r>
          </w:p>
          <w:p w:rsidR="008B2BEC" w:rsidRPr="008B2BEC" w:rsidRDefault="008B2BEC" w:rsidP="00AD24D5">
            <w:pPr>
              <w:jc w:val="both"/>
              <w:rPr>
                <w:rFonts w:cstheme="minorHAnsi"/>
                <w:b/>
                <w:i/>
              </w:rPr>
            </w:pPr>
          </w:p>
          <w:p w:rsidR="00AD24D5" w:rsidRDefault="00AD24D5" w:rsidP="00AD24D5">
            <w:pPr>
              <w:jc w:val="both"/>
              <w:rPr>
                <w:rFonts w:cstheme="minorHAnsi"/>
              </w:rPr>
            </w:pPr>
            <w:r w:rsidRPr="00AD24D5">
              <w:rPr>
                <w:rFonts w:cstheme="minorHAnsi"/>
              </w:rPr>
              <w:t>Gross employment outputs have been calculated in accordance with the HCA Employment Densities Guide (</w:t>
            </w:r>
            <w:r w:rsidR="00336271">
              <w:rPr>
                <w:rFonts w:cstheme="minorHAnsi"/>
              </w:rPr>
              <w:t>3</w:t>
            </w:r>
            <w:r w:rsidR="00336271">
              <w:rPr>
                <w:rFonts w:cstheme="minorHAnsi"/>
                <w:vertAlign w:val="superscript"/>
              </w:rPr>
              <w:t>rd</w:t>
            </w:r>
            <w:r w:rsidRPr="00AD24D5">
              <w:rPr>
                <w:rFonts w:cstheme="minorHAnsi"/>
              </w:rPr>
              <w:t xml:space="preserve"> Edit</w:t>
            </w:r>
            <w:r w:rsidR="004F7159">
              <w:rPr>
                <w:rFonts w:cstheme="minorHAnsi"/>
              </w:rPr>
              <w:t>ion, 201</w:t>
            </w:r>
            <w:r w:rsidR="00336271">
              <w:rPr>
                <w:rFonts w:cstheme="minorHAnsi"/>
              </w:rPr>
              <w:t>5</w:t>
            </w:r>
            <w:r w:rsidR="004F7159">
              <w:rPr>
                <w:rFonts w:cstheme="minorHAnsi"/>
              </w:rPr>
              <w:t xml:space="preserve">). </w:t>
            </w:r>
            <w:r w:rsidR="00D253DC">
              <w:rPr>
                <w:rFonts w:cstheme="minorHAnsi"/>
              </w:rPr>
              <w:t xml:space="preserve">These have been applied to the above floorspace areas which are as per the latest scheme masterplan and in full accordance with the areas defined within the JAAP. </w:t>
            </w:r>
          </w:p>
          <w:p w:rsidR="008B2BEC" w:rsidRPr="00AD24D5" w:rsidRDefault="008B2BEC" w:rsidP="00AD24D5">
            <w:pPr>
              <w:jc w:val="both"/>
              <w:rPr>
                <w:rFonts w:cstheme="minorHAnsi"/>
              </w:rPr>
            </w:pPr>
          </w:p>
          <w:p w:rsidR="00AD24D5" w:rsidRDefault="00AD24D5" w:rsidP="00AD24D5">
            <w:pPr>
              <w:jc w:val="both"/>
              <w:rPr>
                <w:rFonts w:cstheme="minorHAnsi"/>
              </w:rPr>
            </w:pPr>
            <w:r w:rsidRPr="00AD24D5">
              <w:rPr>
                <w:rFonts w:cstheme="minorHAnsi"/>
              </w:rPr>
              <w:t xml:space="preserve">A 20% adjustment factor has been applied to the GIA for B1 use classes to determine an estimated NIA and a 10% factor to A1,A3,A4 use classes.  </w:t>
            </w:r>
          </w:p>
          <w:p w:rsidR="004F7159" w:rsidRDefault="004F7159" w:rsidP="00AD24D5">
            <w:pPr>
              <w:jc w:val="both"/>
              <w:rPr>
                <w:rFonts w:cstheme="minorHAnsi"/>
              </w:rPr>
            </w:pPr>
          </w:p>
          <w:p w:rsidR="004F7159" w:rsidRDefault="004F7159" w:rsidP="00AD24D5">
            <w:pPr>
              <w:jc w:val="both"/>
              <w:rPr>
                <w:rFonts w:cstheme="minorHAnsi"/>
              </w:rPr>
            </w:pPr>
            <w:r>
              <w:rPr>
                <w:rFonts w:cstheme="minorHAnsi"/>
              </w:rPr>
              <w:t>This results in the following gross job estimates for the phase 1 scheme:</w:t>
            </w:r>
          </w:p>
          <w:p w:rsidR="004F7159" w:rsidRDefault="004F7159" w:rsidP="00AD24D5">
            <w:pPr>
              <w:jc w:val="both"/>
              <w:rPr>
                <w:rFonts w:cstheme="minorHAnsi"/>
              </w:rPr>
            </w:pPr>
          </w:p>
          <w:p w:rsidR="004F7159" w:rsidRDefault="00336271" w:rsidP="00AD24D5">
            <w:pPr>
              <w:jc w:val="both"/>
              <w:rPr>
                <w:rFonts w:cstheme="minorHAnsi"/>
              </w:rPr>
            </w:pPr>
            <w:r>
              <w:rPr>
                <w:noProof/>
              </w:rPr>
              <w:drawing>
                <wp:inline distT="0" distB="0" distL="0" distR="0">
                  <wp:extent cx="1847619" cy="771429"/>
                  <wp:effectExtent l="19050" t="19050" r="19685"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1847619" cy="771429"/>
                          </a:xfrm>
                          <a:prstGeom prst="rect">
                            <a:avLst/>
                          </a:prstGeom>
                          <a:ln>
                            <a:solidFill>
                              <a:schemeClr val="tx1"/>
                            </a:solidFill>
                          </a:ln>
                        </pic:spPr>
                      </pic:pic>
                    </a:graphicData>
                  </a:graphic>
                </wp:inline>
              </w:drawing>
            </w:r>
          </w:p>
          <w:p w:rsidR="004F7159" w:rsidRDefault="004F7159" w:rsidP="00AD24D5">
            <w:pPr>
              <w:jc w:val="both"/>
              <w:rPr>
                <w:rFonts w:cstheme="minorHAnsi"/>
              </w:rPr>
            </w:pPr>
          </w:p>
          <w:p w:rsidR="004F7159" w:rsidRDefault="004F7159" w:rsidP="00AD24D5">
            <w:pPr>
              <w:jc w:val="both"/>
              <w:rPr>
                <w:rFonts w:cstheme="minorHAnsi"/>
              </w:rPr>
            </w:pPr>
            <w:r>
              <w:rPr>
                <w:rFonts w:cstheme="minorHAnsi"/>
              </w:rPr>
              <w:t xml:space="preserve">However, it has then been prudently assumed that there will be a 10% running occupancy void at any point in time which reduces the gross employment figure to </w:t>
            </w:r>
            <w:r w:rsidR="00B07903">
              <w:rPr>
                <w:rFonts w:cstheme="minorHAnsi"/>
              </w:rPr>
              <w:t>1,</w:t>
            </w:r>
            <w:r w:rsidR="00671B19">
              <w:rPr>
                <w:rFonts w:cstheme="minorHAnsi"/>
              </w:rPr>
              <w:t>084</w:t>
            </w:r>
            <w:r>
              <w:rPr>
                <w:rFonts w:cstheme="minorHAnsi"/>
              </w:rPr>
              <w:t xml:space="preserve"> (no void is assumed for the hotel floorspace as job numbers will not vary based on </w:t>
            </w:r>
            <w:r w:rsidR="00A85C5E">
              <w:rPr>
                <w:rFonts w:cstheme="minorHAnsi"/>
              </w:rPr>
              <w:t xml:space="preserve">hotel room </w:t>
            </w:r>
            <w:r>
              <w:rPr>
                <w:rFonts w:cstheme="minorHAnsi"/>
              </w:rPr>
              <w:t xml:space="preserve">occupancy).  </w:t>
            </w:r>
          </w:p>
          <w:p w:rsidR="004F7159" w:rsidRDefault="004F7159" w:rsidP="00AD24D5">
            <w:pPr>
              <w:jc w:val="both"/>
              <w:rPr>
                <w:rFonts w:cstheme="minorHAnsi"/>
              </w:rPr>
            </w:pPr>
          </w:p>
          <w:p w:rsidR="004F7159" w:rsidRDefault="004F7159" w:rsidP="00AD24D5">
            <w:pPr>
              <w:jc w:val="both"/>
              <w:rPr>
                <w:rFonts w:cstheme="minorHAnsi"/>
              </w:rPr>
            </w:pPr>
            <w:r>
              <w:rPr>
                <w:rFonts w:cstheme="minorHAnsi"/>
              </w:rPr>
              <w:t>It is also estimated that the phase 2 scheme could deliver an estimated 3,</w:t>
            </w:r>
            <w:r w:rsidR="00A85C5E">
              <w:rPr>
                <w:rFonts w:cstheme="minorHAnsi"/>
              </w:rPr>
              <w:t>000</w:t>
            </w:r>
            <w:r>
              <w:rPr>
                <w:rFonts w:cstheme="minorHAnsi"/>
              </w:rPr>
              <w:t xml:space="preserve"> gross jobs, which is reduced to </w:t>
            </w:r>
            <w:r w:rsidR="00A85C5E">
              <w:rPr>
                <w:rFonts w:cstheme="minorHAnsi"/>
              </w:rPr>
              <w:t>2,700</w:t>
            </w:r>
            <w:r>
              <w:rPr>
                <w:rFonts w:cstheme="minorHAnsi"/>
              </w:rPr>
              <w:t xml:space="preserve"> assu</w:t>
            </w:r>
            <w:r w:rsidR="00C82B92">
              <w:rPr>
                <w:rFonts w:cstheme="minorHAnsi"/>
              </w:rPr>
              <w:t xml:space="preserve">ming the same 10% running void, although these gross jobs have not been attributed to the phase 1 infrastructure works. </w:t>
            </w:r>
          </w:p>
          <w:p w:rsidR="004F7159" w:rsidRDefault="004F7159" w:rsidP="00AD24D5">
            <w:pPr>
              <w:jc w:val="both"/>
              <w:rPr>
                <w:rFonts w:cstheme="minorHAnsi"/>
              </w:rPr>
            </w:pPr>
          </w:p>
          <w:p w:rsidR="004F7159" w:rsidRPr="004F7159" w:rsidRDefault="004F7159" w:rsidP="00AD24D5">
            <w:pPr>
              <w:jc w:val="both"/>
              <w:rPr>
                <w:rFonts w:cstheme="minorHAnsi"/>
                <w:b/>
                <w:i/>
              </w:rPr>
            </w:pPr>
            <w:r>
              <w:rPr>
                <w:rFonts w:cstheme="minorHAnsi"/>
                <w:b/>
                <w:i/>
              </w:rPr>
              <w:t>Construction job outputs</w:t>
            </w:r>
          </w:p>
          <w:p w:rsidR="00AD24D5" w:rsidRDefault="00AD24D5" w:rsidP="00AD24D5">
            <w:pPr>
              <w:jc w:val="both"/>
              <w:rPr>
                <w:rFonts w:cstheme="minorHAnsi"/>
              </w:rPr>
            </w:pPr>
          </w:p>
          <w:p w:rsidR="004F7159" w:rsidRDefault="00AD24D5" w:rsidP="00AD24D5">
            <w:pPr>
              <w:jc w:val="both"/>
              <w:rPr>
                <w:rFonts w:cstheme="minorHAnsi"/>
              </w:rPr>
            </w:pPr>
            <w:r>
              <w:rPr>
                <w:rFonts w:cstheme="minorHAnsi"/>
              </w:rPr>
              <w:t>Construction job estimates hav</w:t>
            </w:r>
            <w:r w:rsidR="008860BA">
              <w:rPr>
                <w:rFonts w:cstheme="minorHAnsi"/>
              </w:rPr>
              <w:t xml:space="preserve">e been made based on the HCA Calculating Cost per Job Best Practice Note (2015) </w:t>
            </w:r>
            <w:r>
              <w:rPr>
                <w:rFonts w:cstheme="minorHAnsi"/>
              </w:rPr>
              <w:t xml:space="preserve">which is an HMT approved measure of estimating construction impacts. </w:t>
            </w:r>
            <w:r w:rsidR="00D253DC">
              <w:rPr>
                <w:rFonts w:cstheme="minorHAnsi"/>
              </w:rPr>
              <w:t>This estimates construction jobs based on annual construction spend using prescribed labour co-efficients for infrastructure projects and c</w:t>
            </w:r>
            <w:r w:rsidR="002B6E1B">
              <w:rPr>
                <w:rFonts w:cstheme="minorHAnsi"/>
              </w:rPr>
              <w:t>ommercial development projects, as below:</w:t>
            </w:r>
          </w:p>
          <w:p w:rsidR="002B6E1B" w:rsidRDefault="002B6E1B" w:rsidP="00AD24D5">
            <w:pPr>
              <w:jc w:val="both"/>
              <w:rPr>
                <w:rFonts w:cstheme="minorHAnsi"/>
              </w:rPr>
            </w:pPr>
          </w:p>
          <w:p w:rsidR="002B6E1B" w:rsidRDefault="008860BA" w:rsidP="00AD24D5">
            <w:pPr>
              <w:jc w:val="both"/>
              <w:rPr>
                <w:rFonts w:cstheme="minorHAnsi"/>
              </w:rPr>
            </w:pPr>
            <w:r>
              <w:rPr>
                <w:noProof/>
              </w:rPr>
              <w:drawing>
                <wp:inline distT="0" distB="0" distL="0" distR="0">
                  <wp:extent cx="4910491" cy="707740"/>
                  <wp:effectExtent l="0" t="0" r="444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4941923" cy="712270"/>
                          </a:xfrm>
                          <a:prstGeom prst="rect">
                            <a:avLst/>
                          </a:prstGeom>
                        </pic:spPr>
                      </pic:pic>
                    </a:graphicData>
                  </a:graphic>
                </wp:inline>
              </w:drawing>
            </w:r>
          </w:p>
          <w:p w:rsidR="004F7159" w:rsidRDefault="004F7159" w:rsidP="00AD24D5">
            <w:pPr>
              <w:jc w:val="both"/>
              <w:rPr>
                <w:rFonts w:cstheme="minorHAnsi"/>
              </w:rPr>
            </w:pPr>
          </w:p>
          <w:p w:rsidR="00AA21F0" w:rsidRDefault="004F7159" w:rsidP="00AD24D5">
            <w:pPr>
              <w:jc w:val="both"/>
              <w:rPr>
                <w:rFonts w:cstheme="minorHAnsi"/>
              </w:rPr>
            </w:pPr>
            <w:r>
              <w:rPr>
                <w:rFonts w:cstheme="minorHAnsi"/>
              </w:rPr>
              <w:t xml:space="preserve">Direct construction jobs </w:t>
            </w:r>
            <w:r w:rsidR="00C82B92">
              <w:rPr>
                <w:rFonts w:cstheme="minorHAnsi"/>
              </w:rPr>
              <w:t xml:space="preserve">are assumed to relate to the phase 1 infrastructure works and indirect construction jobs are assumed to relate to the construction jobs associated with the development of commercial floorspace as part of the phase 1 site area. </w:t>
            </w:r>
            <w:r>
              <w:rPr>
                <w:rFonts w:cstheme="minorHAnsi"/>
              </w:rPr>
              <w:t xml:space="preserve"> </w:t>
            </w:r>
            <w:r w:rsidR="004F2F89">
              <w:rPr>
                <w:rFonts w:cstheme="minorHAnsi"/>
              </w:rPr>
              <w:t xml:space="preserve">Based on </w:t>
            </w:r>
            <w:r w:rsidR="00AA21F0">
              <w:rPr>
                <w:rFonts w:cstheme="minorHAnsi"/>
              </w:rPr>
              <w:t xml:space="preserve">the above co-efficients and a total phase 1 </w:t>
            </w:r>
            <w:r w:rsidR="00AA21F0" w:rsidRPr="00B07903">
              <w:rPr>
                <w:rFonts w:cstheme="minorHAnsi"/>
              </w:rPr>
              <w:t xml:space="preserve">infrastructure spend of £8.8m, this equates to </w:t>
            </w:r>
            <w:r w:rsidR="001F21AB">
              <w:rPr>
                <w:rFonts w:cstheme="minorHAnsi"/>
              </w:rPr>
              <w:t>123</w:t>
            </w:r>
            <w:r w:rsidR="00E63B20" w:rsidRPr="00B07903">
              <w:rPr>
                <w:rFonts w:cstheme="minorHAnsi"/>
              </w:rPr>
              <w:t xml:space="preserve"> </w:t>
            </w:r>
            <w:r w:rsidR="00AF7005" w:rsidRPr="00B07903">
              <w:rPr>
                <w:rFonts w:cstheme="minorHAnsi"/>
              </w:rPr>
              <w:t xml:space="preserve">gross </w:t>
            </w:r>
            <w:r w:rsidR="00E63B20" w:rsidRPr="00B07903">
              <w:rPr>
                <w:rFonts w:cstheme="minorHAnsi"/>
              </w:rPr>
              <w:t>direct</w:t>
            </w:r>
            <w:r w:rsidR="00AA21F0" w:rsidRPr="00B07903">
              <w:rPr>
                <w:rFonts w:cstheme="minorHAnsi"/>
              </w:rPr>
              <w:t xml:space="preserve"> FTE construction jobs for the assumed </w:t>
            </w:r>
            <w:r w:rsidR="00530258" w:rsidRPr="00B07903">
              <w:rPr>
                <w:rFonts w:cstheme="minorHAnsi"/>
              </w:rPr>
              <w:t xml:space="preserve">circa </w:t>
            </w:r>
            <w:r w:rsidR="00AA21F0" w:rsidRPr="00B07903">
              <w:rPr>
                <w:rFonts w:cstheme="minorHAnsi"/>
              </w:rPr>
              <w:t>12 month build period</w:t>
            </w:r>
            <w:r w:rsidR="00530258" w:rsidRPr="00B07903">
              <w:rPr>
                <w:rFonts w:cstheme="minorHAnsi"/>
              </w:rPr>
              <w:t xml:space="preserve">  (the construction period </w:t>
            </w:r>
            <w:r w:rsidR="00DE3A53" w:rsidRPr="00B07903">
              <w:rPr>
                <w:rFonts w:cstheme="minorHAnsi"/>
              </w:rPr>
              <w:t xml:space="preserve">is </w:t>
            </w:r>
            <w:r w:rsidR="00530258" w:rsidRPr="00B07903">
              <w:rPr>
                <w:rFonts w:cstheme="minorHAnsi"/>
              </w:rPr>
              <w:t>up to 15 months in reality but is assumed to be 12 months for the purpose of this analysis)</w:t>
            </w:r>
            <w:r w:rsidR="00AA21F0" w:rsidRPr="00B07903">
              <w:rPr>
                <w:rFonts w:cstheme="minorHAnsi"/>
              </w:rPr>
              <w:t xml:space="preserve"> or </w:t>
            </w:r>
            <w:r w:rsidR="001F21AB">
              <w:rPr>
                <w:rFonts w:cstheme="minorHAnsi"/>
              </w:rPr>
              <w:t>123</w:t>
            </w:r>
            <w:r w:rsidR="00AA21F0" w:rsidRPr="00B07903">
              <w:rPr>
                <w:rFonts w:cstheme="minorHAnsi"/>
              </w:rPr>
              <w:t xml:space="preserve"> job construction job years.</w:t>
            </w:r>
            <w:r w:rsidR="00E63B20" w:rsidRPr="00B07903">
              <w:rPr>
                <w:rFonts w:cstheme="minorHAnsi"/>
              </w:rPr>
              <w:t xml:space="preserve"> In terms of indirect construction jobs relating to the development of the commercial units on the unlocked development plots, there is an expected total build cost (excluding infrastructure costs) </w:t>
            </w:r>
            <w:r w:rsidR="00B07903" w:rsidRPr="00B07903">
              <w:rPr>
                <w:rFonts w:cstheme="minorHAnsi"/>
              </w:rPr>
              <w:t>of £27m</w:t>
            </w:r>
            <w:r w:rsidR="00E63B20" w:rsidRPr="00B07903">
              <w:rPr>
                <w:rFonts w:cstheme="minorHAnsi"/>
              </w:rPr>
              <w:t xml:space="preserve">. Applying this over the assumed 4 year build period </w:t>
            </w:r>
            <w:r w:rsidR="00B07903" w:rsidRPr="00B07903">
              <w:rPr>
                <w:rFonts w:cstheme="minorHAnsi"/>
              </w:rPr>
              <w:t xml:space="preserve">linked proportionately to the delivery of floorspace equates to </w:t>
            </w:r>
            <w:r w:rsidR="001F21AB">
              <w:rPr>
                <w:rFonts w:cstheme="minorHAnsi"/>
              </w:rPr>
              <w:t>94</w:t>
            </w:r>
            <w:r w:rsidR="00B07903" w:rsidRPr="00B07903">
              <w:rPr>
                <w:rFonts w:cstheme="minorHAnsi"/>
              </w:rPr>
              <w:t xml:space="preserve"> </w:t>
            </w:r>
            <w:r w:rsidR="00E63B20" w:rsidRPr="00B07903">
              <w:rPr>
                <w:rFonts w:cstheme="minorHAnsi"/>
              </w:rPr>
              <w:t xml:space="preserve">FTE </w:t>
            </w:r>
            <w:r w:rsidR="00AF7005" w:rsidRPr="00B07903">
              <w:rPr>
                <w:rFonts w:cstheme="minorHAnsi"/>
              </w:rPr>
              <w:t xml:space="preserve">gross indirect </w:t>
            </w:r>
            <w:r w:rsidR="00E63B20" w:rsidRPr="00B07903">
              <w:rPr>
                <w:rFonts w:cstheme="minorHAnsi"/>
              </w:rPr>
              <w:t xml:space="preserve">construction jobs per annum for the 4 year period or </w:t>
            </w:r>
            <w:r w:rsidR="001F21AB">
              <w:rPr>
                <w:rFonts w:cstheme="minorHAnsi"/>
              </w:rPr>
              <w:t>377</w:t>
            </w:r>
            <w:r w:rsidR="00E63B20" w:rsidRPr="00B07903">
              <w:rPr>
                <w:rFonts w:cstheme="minorHAnsi"/>
              </w:rPr>
              <w:t xml:space="preserve"> job years.</w:t>
            </w:r>
            <w:r w:rsidR="00E63B20">
              <w:rPr>
                <w:rFonts w:cstheme="minorHAnsi"/>
              </w:rPr>
              <w:t xml:space="preserve"> </w:t>
            </w:r>
          </w:p>
          <w:p w:rsidR="00E63B20" w:rsidRDefault="00E63B20" w:rsidP="00AD24D5">
            <w:pPr>
              <w:jc w:val="both"/>
              <w:rPr>
                <w:rFonts w:cstheme="minorHAnsi"/>
              </w:rPr>
            </w:pPr>
          </w:p>
          <w:p w:rsidR="00E63B20" w:rsidRDefault="00AF7005" w:rsidP="00AD24D5">
            <w:pPr>
              <w:jc w:val="both"/>
              <w:rPr>
                <w:rFonts w:cstheme="minorHAnsi"/>
              </w:rPr>
            </w:pPr>
            <w:r>
              <w:rPr>
                <w:rFonts w:cstheme="minorHAnsi"/>
              </w:rPr>
              <w:lastRenderedPageBreak/>
              <w:t>Factors of additionality have also been accounted for in relation to the construction job impacts and the following adjustments have been applied in accordance with the Additionality Guide:</w:t>
            </w:r>
          </w:p>
          <w:p w:rsidR="00AF7005" w:rsidRDefault="00AF7005" w:rsidP="00AD24D5">
            <w:pPr>
              <w:jc w:val="both"/>
              <w:rPr>
                <w:rFonts w:cstheme="minorHAnsi"/>
              </w:rPr>
            </w:pPr>
          </w:p>
          <w:p w:rsidR="00AF7005" w:rsidRDefault="00AF7005" w:rsidP="00AD24D5">
            <w:pPr>
              <w:jc w:val="both"/>
              <w:rPr>
                <w:rFonts w:cstheme="minorHAnsi"/>
              </w:rPr>
            </w:pPr>
            <w:r>
              <w:rPr>
                <w:rFonts w:cstheme="minorHAnsi"/>
              </w:rPr>
              <w:t>Leakage – 25%</w:t>
            </w:r>
          </w:p>
          <w:p w:rsidR="00AF7005" w:rsidRDefault="00AF7005" w:rsidP="00AD24D5">
            <w:pPr>
              <w:jc w:val="both"/>
              <w:rPr>
                <w:rFonts w:cstheme="minorHAnsi"/>
              </w:rPr>
            </w:pPr>
            <w:r>
              <w:rPr>
                <w:rFonts w:cstheme="minorHAnsi"/>
              </w:rPr>
              <w:t>Displacement – 25%</w:t>
            </w:r>
          </w:p>
          <w:p w:rsidR="00AF7005" w:rsidRDefault="00AF7005" w:rsidP="00AD24D5">
            <w:pPr>
              <w:jc w:val="both"/>
              <w:rPr>
                <w:rFonts w:cstheme="minorHAnsi"/>
              </w:rPr>
            </w:pPr>
            <w:r>
              <w:rPr>
                <w:rFonts w:cstheme="minorHAnsi"/>
              </w:rPr>
              <w:t>Multiplier – 1.29</w:t>
            </w:r>
          </w:p>
          <w:p w:rsidR="00E63B20" w:rsidRDefault="00E63B20" w:rsidP="00AD24D5">
            <w:pPr>
              <w:jc w:val="both"/>
              <w:rPr>
                <w:rFonts w:cstheme="minorHAnsi"/>
              </w:rPr>
            </w:pPr>
          </w:p>
          <w:p w:rsidR="00E63B20" w:rsidRDefault="00AF7005" w:rsidP="00AD24D5">
            <w:pPr>
              <w:jc w:val="both"/>
              <w:rPr>
                <w:rFonts w:cstheme="minorHAnsi"/>
              </w:rPr>
            </w:pPr>
            <w:r>
              <w:rPr>
                <w:rFonts w:cstheme="minorHAnsi"/>
              </w:rPr>
              <w:t>This equates to the following net additional construction job impacts:</w:t>
            </w:r>
          </w:p>
          <w:p w:rsidR="00AF7005" w:rsidRDefault="00AF7005" w:rsidP="00AD24D5">
            <w:pPr>
              <w:jc w:val="both"/>
              <w:rPr>
                <w:rFonts w:cstheme="minorHAnsi"/>
              </w:rPr>
            </w:pPr>
          </w:p>
          <w:p w:rsidR="00AF7005" w:rsidRDefault="00AF7005" w:rsidP="00AF7005">
            <w:pPr>
              <w:pStyle w:val="ListParagraph"/>
              <w:numPr>
                <w:ilvl w:val="0"/>
                <w:numId w:val="37"/>
              </w:numPr>
              <w:jc w:val="both"/>
              <w:rPr>
                <w:rFonts w:cstheme="minorHAnsi"/>
              </w:rPr>
            </w:pPr>
            <w:r>
              <w:rPr>
                <w:rFonts w:cstheme="minorHAnsi"/>
              </w:rPr>
              <w:t>Direct FTE net additional construction job years</w:t>
            </w:r>
            <w:r w:rsidR="000E6551">
              <w:rPr>
                <w:rFonts w:cstheme="minorHAnsi"/>
              </w:rPr>
              <w:t xml:space="preserve"> - </w:t>
            </w:r>
            <w:r w:rsidR="001F21AB">
              <w:rPr>
                <w:rFonts w:cstheme="minorHAnsi"/>
              </w:rPr>
              <w:t>89</w:t>
            </w:r>
          </w:p>
          <w:p w:rsidR="00AF7005" w:rsidRDefault="00AF7005" w:rsidP="00AF7005">
            <w:pPr>
              <w:pStyle w:val="ListParagraph"/>
              <w:numPr>
                <w:ilvl w:val="0"/>
                <w:numId w:val="37"/>
              </w:numPr>
              <w:jc w:val="both"/>
              <w:rPr>
                <w:rFonts w:cstheme="minorHAnsi"/>
              </w:rPr>
            </w:pPr>
            <w:r>
              <w:rPr>
                <w:rFonts w:cstheme="minorHAnsi"/>
              </w:rPr>
              <w:t>Indirect FTE net additional construction job years</w:t>
            </w:r>
            <w:r w:rsidR="000E6551">
              <w:rPr>
                <w:rFonts w:cstheme="minorHAnsi"/>
              </w:rPr>
              <w:t xml:space="preserve"> - </w:t>
            </w:r>
            <w:r w:rsidR="00B07903">
              <w:rPr>
                <w:rFonts w:cstheme="minorHAnsi"/>
              </w:rPr>
              <w:t>2</w:t>
            </w:r>
            <w:r w:rsidR="001F21AB">
              <w:rPr>
                <w:rFonts w:cstheme="minorHAnsi"/>
              </w:rPr>
              <w:t>73</w:t>
            </w:r>
          </w:p>
          <w:p w:rsidR="00E63B20" w:rsidRDefault="00E63B20" w:rsidP="00AD24D5">
            <w:pPr>
              <w:jc w:val="both"/>
              <w:rPr>
                <w:rFonts w:cstheme="minorHAnsi"/>
              </w:rPr>
            </w:pPr>
          </w:p>
          <w:p w:rsidR="00AA21F0" w:rsidRDefault="00AA21F0" w:rsidP="00AD24D5">
            <w:pPr>
              <w:jc w:val="both"/>
              <w:rPr>
                <w:rFonts w:cstheme="minorHAnsi"/>
              </w:rPr>
            </w:pPr>
          </w:p>
          <w:p w:rsidR="004F7159" w:rsidRDefault="00AA21F0" w:rsidP="00AD24D5">
            <w:pPr>
              <w:jc w:val="both"/>
              <w:rPr>
                <w:rFonts w:cstheme="minorHAnsi"/>
              </w:rPr>
            </w:pPr>
            <w:r>
              <w:rPr>
                <w:rFonts w:cstheme="minorHAnsi"/>
              </w:rPr>
              <w:t xml:space="preserve">A summary of the gross outputs under the preferred option are presented below: </w:t>
            </w:r>
          </w:p>
          <w:p w:rsidR="00AA21F0" w:rsidRDefault="00AA21F0" w:rsidP="00AD24D5">
            <w:pPr>
              <w:jc w:val="both"/>
              <w:rPr>
                <w:rFonts w:cstheme="minorHAnsi"/>
              </w:rPr>
            </w:pPr>
          </w:p>
          <w:tbl>
            <w:tblPr>
              <w:tblStyle w:val="TableGrid"/>
              <w:tblW w:w="0" w:type="auto"/>
              <w:tblLook w:val="04A0"/>
            </w:tblPr>
            <w:tblGrid>
              <w:gridCol w:w="1858"/>
              <w:gridCol w:w="1858"/>
              <w:gridCol w:w="1858"/>
              <w:gridCol w:w="1859"/>
            </w:tblGrid>
            <w:tr w:rsidR="00E90CC1" w:rsidTr="0024376E">
              <w:tc>
                <w:tcPr>
                  <w:tcW w:w="7433" w:type="dxa"/>
                  <w:gridSpan w:val="4"/>
                  <w:shd w:val="clear" w:color="auto" w:fill="D9D9D9" w:themeFill="background1" w:themeFillShade="D9"/>
                </w:tcPr>
                <w:p w:rsidR="00E90CC1" w:rsidRDefault="0024376E" w:rsidP="00E90CC1">
                  <w:pPr>
                    <w:rPr>
                      <w:rFonts w:cstheme="minorHAnsi"/>
                    </w:rPr>
                  </w:pPr>
                  <w:r>
                    <w:rPr>
                      <w:rFonts w:cstheme="minorHAnsi"/>
                    </w:rPr>
                    <w:t xml:space="preserve">Preferred Option </w:t>
                  </w:r>
                  <w:r w:rsidR="007E6350">
                    <w:rPr>
                      <w:rFonts w:cstheme="minorHAnsi"/>
                    </w:rPr>
                    <w:t>–</w:t>
                  </w:r>
                  <w:r>
                    <w:rPr>
                      <w:rFonts w:cstheme="minorHAnsi"/>
                    </w:rPr>
                    <w:t xml:space="preserve"> </w:t>
                  </w:r>
                  <w:r w:rsidR="007E6350">
                    <w:rPr>
                      <w:rFonts w:cstheme="minorHAnsi"/>
                    </w:rPr>
                    <w:t xml:space="preserve">Summary of </w:t>
                  </w:r>
                  <w:r w:rsidR="00E90CC1">
                    <w:rPr>
                      <w:rFonts w:cstheme="minorHAnsi"/>
                    </w:rPr>
                    <w:t>Gross Outputs</w:t>
                  </w:r>
                </w:p>
              </w:tc>
            </w:tr>
            <w:tr w:rsidR="00E90CC1" w:rsidTr="00D66FA1">
              <w:tc>
                <w:tcPr>
                  <w:tcW w:w="1858" w:type="dxa"/>
                </w:tcPr>
                <w:p w:rsidR="00E90CC1" w:rsidRPr="00993532" w:rsidRDefault="00E90CC1" w:rsidP="00E90CC1">
                  <w:pPr>
                    <w:jc w:val="both"/>
                    <w:rPr>
                      <w:rFonts w:ascii="Arial" w:hAnsi="Arial" w:cs="Arial"/>
                      <w:sz w:val="18"/>
                      <w:szCs w:val="18"/>
                    </w:rPr>
                  </w:pPr>
                </w:p>
              </w:tc>
              <w:tc>
                <w:tcPr>
                  <w:tcW w:w="1858" w:type="dxa"/>
                  <w:vAlign w:val="center"/>
                </w:tcPr>
                <w:p w:rsidR="00E90CC1" w:rsidRPr="00B07903" w:rsidRDefault="00E90CC1" w:rsidP="00E90CC1">
                  <w:pPr>
                    <w:spacing w:line="240" w:lineRule="exact"/>
                    <w:jc w:val="center"/>
                    <w:rPr>
                      <w:rFonts w:ascii="Arial" w:hAnsi="Arial" w:cs="Arial"/>
                      <w:sz w:val="18"/>
                      <w:szCs w:val="18"/>
                    </w:rPr>
                  </w:pPr>
                  <w:r w:rsidRPr="00B07903">
                    <w:rPr>
                      <w:rFonts w:ascii="Arial" w:hAnsi="Arial" w:cs="Arial"/>
                      <w:sz w:val="18"/>
                      <w:szCs w:val="18"/>
                    </w:rPr>
                    <w:t>Direct outputs dependent on or delivered by the Scheme</w:t>
                  </w:r>
                </w:p>
              </w:tc>
              <w:tc>
                <w:tcPr>
                  <w:tcW w:w="1858" w:type="dxa"/>
                  <w:vAlign w:val="center"/>
                </w:tcPr>
                <w:p w:rsidR="00E90CC1" w:rsidRPr="00B07903" w:rsidRDefault="00E90CC1" w:rsidP="00E90CC1">
                  <w:pPr>
                    <w:spacing w:line="240" w:lineRule="exact"/>
                    <w:jc w:val="center"/>
                    <w:rPr>
                      <w:rFonts w:ascii="Arial" w:hAnsi="Arial" w:cs="Arial"/>
                      <w:sz w:val="18"/>
                      <w:szCs w:val="18"/>
                    </w:rPr>
                  </w:pPr>
                  <w:r w:rsidRPr="00B07903">
                    <w:rPr>
                      <w:rFonts w:ascii="Arial" w:hAnsi="Arial" w:cs="Arial"/>
                      <w:sz w:val="18"/>
                      <w:szCs w:val="18"/>
                    </w:rPr>
                    <w:t>Indirect outputs associated with the Scheme</w:t>
                  </w:r>
                </w:p>
              </w:tc>
              <w:tc>
                <w:tcPr>
                  <w:tcW w:w="1859" w:type="dxa"/>
                  <w:vAlign w:val="center"/>
                </w:tcPr>
                <w:p w:rsidR="00E90CC1" w:rsidRPr="00B07903" w:rsidRDefault="00E90CC1" w:rsidP="00E90CC1">
                  <w:pPr>
                    <w:spacing w:line="240" w:lineRule="exact"/>
                    <w:jc w:val="center"/>
                    <w:rPr>
                      <w:rFonts w:ascii="Arial" w:hAnsi="Arial" w:cs="Arial"/>
                      <w:sz w:val="18"/>
                      <w:szCs w:val="18"/>
                    </w:rPr>
                  </w:pPr>
                  <w:r w:rsidRPr="00B07903">
                    <w:rPr>
                      <w:rFonts w:ascii="Arial" w:hAnsi="Arial" w:cs="Arial"/>
                      <w:sz w:val="18"/>
                      <w:szCs w:val="18"/>
                    </w:rPr>
                    <w:t>Total Gross Outputs</w:t>
                  </w:r>
                </w:p>
              </w:tc>
            </w:tr>
            <w:tr w:rsidR="00E90CC1" w:rsidTr="00D66FA1">
              <w:tc>
                <w:tcPr>
                  <w:tcW w:w="1858" w:type="dxa"/>
                  <w:vAlign w:val="center"/>
                </w:tcPr>
                <w:p w:rsidR="00E90CC1" w:rsidRPr="00993532" w:rsidRDefault="00E90CC1" w:rsidP="00E90CC1">
                  <w:pPr>
                    <w:spacing w:line="240" w:lineRule="exact"/>
                    <w:rPr>
                      <w:rFonts w:ascii="Arial" w:hAnsi="Arial" w:cs="Arial"/>
                      <w:sz w:val="18"/>
                      <w:szCs w:val="18"/>
                    </w:rPr>
                  </w:pPr>
                  <w:r w:rsidRPr="00993532">
                    <w:rPr>
                      <w:rFonts w:ascii="Arial" w:hAnsi="Arial" w:cs="Arial"/>
                      <w:sz w:val="18"/>
                      <w:szCs w:val="18"/>
                    </w:rPr>
                    <w:t>FTE construction job years</w:t>
                  </w:r>
                  <w:r w:rsidR="000E6551">
                    <w:rPr>
                      <w:rFonts w:ascii="Arial" w:hAnsi="Arial" w:cs="Arial"/>
                      <w:sz w:val="18"/>
                      <w:szCs w:val="18"/>
                    </w:rPr>
                    <w:t xml:space="preserve"> - gross</w:t>
                  </w:r>
                </w:p>
              </w:tc>
              <w:tc>
                <w:tcPr>
                  <w:tcW w:w="1858" w:type="dxa"/>
                </w:tcPr>
                <w:p w:rsidR="00E90CC1" w:rsidRPr="00B07903" w:rsidRDefault="001F21AB" w:rsidP="00E90CC1">
                  <w:pPr>
                    <w:jc w:val="both"/>
                    <w:rPr>
                      <w:rFonts w:ascii="Arial" w:hAnsi="Arial" w:cs="Arial"/>
                      <w:sz w:val="18"/>
                      <w:szCs w:val="18"/>
                    </w:rPr>
                  </w:pPr>
                  <w:r>
                    <w:rPr>
                      <w:rFonts w:ascii="Arial" w:hAnsi="Arial" w:cs="Arial"/>
                      <w:sz w:val="18"/>
                      <w:szCs w:val="18"/>
                    </w:rPr>
                    <w:t>123</w:t>
                  </w:r>
                </w:p>
              </w:tc>
              <w:tc>
                <w:tcPr>
                  <w:tcW w:w="1858" w:type="dxa"/>
                </w:tcPr>
                <w:p w:rsidR="00E90CC1" w:rsidRPr="00B07903" w:rsidRDefault="001F21AB" w:rsidP="00E90CC1">
                  <w:pPr>
                    <w:jc w:val="both"/>
                    <w:rPr>
                      <w:rFonts w:ascii="Arial" w:hAnsi="Arial" w:cs="Arial"/>
                      <w:sz w:val="18"/>
                      <w:szCs w:val="18"/>
                    </w:rPr>
                  </w:pPr>
                  <w:r>
                    <w:rPr>
                      <w:rFonts w:ascii="Arial" w:hAnsi="Arial" w:cs="Arial"/>
                      <w:sz w:val="18"/>
                      <w:szCs w:val="18"/>
                    </w:rPr>
                    <w:t>377</w:t>
                  </w:r>
                </w:p>
              </w:tc>
              <w:tc>
                <w:tcPr>
                  <w:tcW w:w="1859" w:type="dxa"/>
                </w:tcPr>
                <w:p w:rsidR="00E90CC1" w:rsidRPr="00B07903" w:rsidRDefault="00B07903" w:rsidP="001F21AB">
                  <w:pPr>
                    <w:jc w:val="both"/>
                    <w:rPr>
                      <w:rFonts w:ascii="Arial" w:hAnsi="Arial" w:cs="Arial"/>
                      <w:sz w:val="18"/>
                      <w:szCs w:val="18"/>
                    </w:rPr>
                  </w:pPr>
                  <w:r w:rsidRPr="00B07903">
                    <w:rPr>
                      <w:rFonts w:ascii="Arial" w:hAnsi="Arial" w:cs="Arial"/>
                      <w:sz w:val="18"/>
                      <w:szCs w:val="18"/>
                    </w:rPr>
                    <w:t>5</w:t>
                  </w:r>
                  <w:r w:rsidR="001F21AB">
                    <w:rPr>
                      <w:rFonts w:ascii="Arial" w:hAnsi="Arial" w:cs="Arial"/>
                      <w:sz w:val="18"/>
                      <w:szCs w:val="18"/>
                    </w:rPr>
                    <w:t>00</w:t>
                  </w:r>
                </w:p>
              </w:tc>
            </w:tr>
            <w:tr w:rsidR="000E6551" w:rsidTr="00D66FA1">
              <w:tc>
                <w:tcPr>
                  <w:tcW w:w="1858" w:type="dxa"/>
                  <w:vAlign w:val="center"/>
                </w:tcPr>
                <w:p w:rsidR="000E6551" w:rsidRPr="00993532" w:rsidRDefault="000E6551" w:rsidP="000E6551">
                  <w:pPr>
                    <w:spacing w:line="240" w:lineRule="exact"/>
                    <w:rPr>
                      <w:rFonts w:ascii="Arial" w:hAnsi="Arial" w:cs="Arial"/>
                      <w:sz w:val="18"/>
                      <w:szCs w:val="18"/>
                    </w:rPr>
                  </w:pPr>
                  <w:r w:rsidRPr="00993532">
                    <w:rPr>
                      <w:rFonts w:ascii="Arial" w:hAnsi="Arial" w:cs="Arial"/>
                      <w:sz w:val="18"/>
                      <w:szCs w:val="18"/>
                    </w:rPr>
                    <w:t>FTE construction job years</w:t>
                  </w:r>
                  <w:r>
                    <w:rPr>
                      <w:rFonts w:ascii="Arial" w:hAnsi="Arial" w:cs="Arial"/>
                      <w:sz w:val="18"/>
                      <w:szCs w:val="18"/>
                    </w:rPr>
                    <w:t xml:space="preserve"> – net additional</w:t>
                  </w:r>
                </w:p>
              </w:tc>
              <w:tc>
                <w:tcPr>
                  <w:tcW w:w="1858" w:type="dxa"/>
                </w:tcPr>
                <w:p w:rsidR="000E6551" w:rsidRPr="00B07903" w:rsidRDefault="001F21AB" w:rsidP="00E90CC1">
                  <w:pPr>
                    <w:jc w:val="both"/>
                    <w:rPr>
                      <w:rFonts w:ascii="Arial" w:hAnsi="Arial" w:cs="Arial"/>
                      <w:sz w:val="18"/>
                      <w:szCs w:val="18"/>
                    </w:rPr>
                  </w:pPr>
                  <w:r>
                    <w:rPr>
                      <w:rFonts w:ascii="Arial" w:hAnsi="Arial" w:cs="Arial"/>
                      <w:sz w:val="18"/>
                      <w:szCs w:val="18"/>
                    </w:rPr>
                    <w:t>89</w:t>
                  </w:r>
                </w:p>
              </w:tc>
              <w:tc>
                <w:tcPr>
                  <w:tcW w:w="1858" w:type="dxa"/>
                </w:tcPr>
                <w:p w:rsidR="000E6551" w:rsidRPr="00B07903" w:rsidRDefault="00B07903" w:rsidP="001F21AB">
                  <w:pPr>
                    <w:jc w:val="both"/>
                    <w:rPr>
                      <w:rFonts w:ascii="Arial" w:hAnsi="Arial" w:cs="Arial"/>
                      <w:sz w:val="18"/>
                      <w:szCs w:val="18"/>
                    </w:rPr>
                  </w:pPr>
                  <w:r w:rsidRPr="00B07903">
                    <w:rPr>
                      <w:rFonts w:ascii="Arial" w:hAnsi="Arial" w:cs="Arial"/>
                      <w:sz w:val="18"/>
                      <w:szCs w:val="18"/>
                    </w:rPr>
                    <w:t>2</w:t>
                  </w:r>
                  <w:r w:rsidR="001F21AB">
                    <w:rPr>
                      <w:rFonts w:ascii="Arial" w:hAnsi="Arial" w:cs="Arial"/>
                      <w:sz w:val="18"/>
                      <w:szCs w:val="18"/>
                    </w:rPr>
                    <w:t>73</w:t>
                  </w:r>
                </w:p>
              </w:tc>
              <w:tc>
                <w:tcPr>
                  <w:tcW w:w="1859" w:type="dxa"/>
                </w:tcPr>
                <w:p w:rsidR="000E6551" w:rsidRPr="00B07903" w:rsidRDefault="00B07903" w:rsidP="001F21AB">
                  <w:pPr>
                    <w:jc w:val="both"/>
                    <w:rPr>
                      <w:rFonts w:ascii="Arial" w:hAnsi="Arial" w:cs="Arial"/>
                      <w:sz w:val="18"/>
                      <w:szCs w:val="18"/>
                    </w:rPr>
                  </w:pPr>
                  <w:r w:rsidRPr="00B07903">
                    <w:rPr>
                      <w:rFonts w:ascii="Arial" w:hAnsi="Arial" w:cs="Arial"/>
                      <w:sz w:val="18"/>
                      <w:szCs w:val="18"/>
                    </w:rPr>
                    <w:t>3</w:t>
                  </w:r>
                  <w:r w:rsidR="001F21AB">
                    <w:rPr>
                      <w:rFonts w:ascii="Arial" w:hAnsi="Arial" w:cs="Arial"/>
                      <w:sz w:val="18"/>
                      <w:szCs w:val="18"/>
                    </w:rPr>
                    <w:t>62</w:t>
                  </w:r>
                </w:p>
              </w:tc>
            </w:tr>
            <w:tr w:rsidR="00E90CC1" w:rsidTr="00D66FA1">
              <w:tc>
                <w:tcPr>
                  <w:tcW w:w="1858" w:type="dxa"/>
                  <w:vAlign w:val="center"/>
                </w:tcPr>
                <w:p w:rsidR="00E90CC1" w:rsidRPr="00993532" w:rsidRDefault="00E90CC1" w:rsidP="00D253DC">
                  <w:pPr>
                    <w:spacing w:line="240" w:lineRule="exact"/>
                    <w:rPr>
                      <w:rFonts w:ascii="Arial" w:hAnsi="Arial" w:cs="Arial"/>
                      <w:sz w:val="18"/>
                      <w:szCs w:val="18"/>
                    </w:rPr>
                  </w:pPr>
                  <w:r w:rsidRPr="00993532">
                    <w:rPr>
                      <w:rFonts w:ascii="Arial" w:hAnsi="Arial" w:cs="Arial"/>
                      <w:sz w:val="18"/>
                      <w:szCs w:val="18"/>
                    </w:rPr>
                    <w:t xml:space="preserve">Commercial Floorspace created </w:t>
                  </w:r>
                </w:p>
              </w:tc>
              <w:tc>
                <w:tcPr>
                  <w:tcW w:w="1858" w:type="dxa"/>
                </w:tcPr>
                <w:p w:rsidR="00E90CC1" w:rsidRPr="00B07903" w:rsidRDefault="00E90CC1" w:rsidP="00E90CC1">
                  <w:pPr>
                    <w:jc w:val="both"/>
                    <w:rPr>
                      <w:rFonts w:ascii="Arial" w:hAnsi="Arial" w:cs="Arial"/>
                      <w:sz w:val="18"/>
                      <w:szCs w:val="18"/>
                    </w:rPr>
                  </w:pPr>
                </w:p>
              </w:tc>
              <w:tc>
                <w:tcPr>
                  <w:tcW w:w="1858" w:type="dxa"/>
                </w:tcPr>
                <w:p w:rsidR="00E90CC1" w:rsidRPr="00B07903" w:rsidRDefault="00AA21F0" w:rsidP="00E90CC1">
                  <w:pPr>
                    <w:jc w:val="both"/>
                    <w:rPr>
                      <w:rFonts w:ascii="Arial" w:hAnsi="Arial" w:cs="Arial"/>
                      <w:sz w:val="18"/>
                      <w:szCs w:val="18"/>
                    </w:rPr>
                  </w:pPr>
                  <w:r w:rsidRPr="00B07903">
                    <w:rPr>
                      <w:rFonts w:ascii="Arial" w:hAnsi="Arial" w:cs="Arial"/>
                      <w:sz w:val="18"/>
                      <w:szCs w:val="18"/>
                    </w:rPr>
                    <w:t>22,410</w:t>
                  </w:r>
                  <w:r w:rsidR="00C82B92" w:rsidRPr="00B07903">
                    <w:rPr>
                      <w:rFonts w:ascii="Arial" w:hAnsi="Arial" w:cs="Arial"/>
                      <w:sz w:val="18"/>
                      <w:szCs w:val="18"/>
                    </w:rPr>
                    <w:t xml:space="preserve"> sqm (GIA)</w:t>
                  </w:r>
                </w:p>
              </w:tc>
              <w:tc>
                <w:tcPr>
                  <w:tcW w:w="1859" w:type="dxa"/>
                </w:tcPr>
                <w:p w:rsidR="00E90CC1" w:rsidRPr="00B07903" w:rsidRDefault="00AA21F0" w:rsidP="00E90CC1">
                  <w:pPr>
                    <w:jc w:val="both"/>
                    <w:rPr>
                      <w:rFonts w:ascii="Arial" w:hAnsi="Arial" w:cs="Arial"/>
                      <w:sz w:val="18"/>
                      <w:szCs w:val="18"/>
                    </w:rPr>
                  </w:pPr>
                  <w:r w:rsidRPr="00B07903">
                    <w:rPr>
                      <w:rFonts w:ascii="Arial" w:hAnsi="Arial" w:cs="Arial"/>
                      <w:sz w:val="18"/>
                      <w:szCs w:val="18"/>
                    </w:rPr>
                    <w:t>22,410</w:t>
                  </w:r>
                  <w:r w:rsidR="00C82B92" w:rsidRPr="00B07903">
                    <w:rPr>
                      <w:rFonts w:ascii="Arial" w:hAnsi="Arial" w:cs="Arial"/>
                      <w:sz w:val="18"/>
                      <w:szCs w:val="18"/>
                    </w:rPr>
                    <w:t xml:space="preserve"> sqm (GIA)</w:t>
                  </w:r>
                </w:p>
              </w:tc>
            </w:tr>
            <w:tr w:rsidR="00E90CC1" w:rsidTr="00D66FA1">
              <w:tc>
                <w:tcPr>
                  <w:tcW w:w="1858" w:type="dxa"/>
                  <w:vAlign w:val="center"/>
                </w:tcPr>
                <w:p w:rsidR="00E90CC1" w:rsidRPr="00993532" w:rsidRDefault="00E90CC1" w:rsidP="00E90CC1">
                  <w:pPr>
                    <w:spacing w:line="240" w:lineRule="exact"/>
                    <w:rPr>
                      <w:rFonts w:ascii="Arial" w:hAnsi="Arial" w:cs="Arial"/>
                      <w:sz w:val="18"/>
                      <w:szCs w:val="18"/>
                    </w:rPr>
                  </w:pPr>
                  <w:r w:rsidRPr="00993532">
                    <w:rPr>
                      <w:rFonts w:ascii="Arial" w:hAnsi="Arial" w:cs="Arial"/>
                      <w:sz w:val="18"/>
                      <w:szCs w:val="18"/>
                    </w:rPr>
                    <w:t>FTE</w:t>
                  </w:r>
                  <w:r w:rsidR="00186915">
                    <w:rPr>
                      <w:rFonts w:ascii="Arial" w:hAnsi="Arial" w:cs="Arial"/>
                      <w:sz w:val="18"/>
                      <w:szCs w:val="18"/>
                    </w:rPr>
                    <w:t xml:space="preserve"> Gross</w:t>
                  </w:r>
                  <w:r w:rsidRPr="00993532">
                    <w:rPr>
                      <w:rFonts w:ascii="Arial" w:hAnsi="Arial" w:cs="Arial"/>
                      <w:sz w:val="18"/>
                      <w:szCs w:val="18"/>
                    </w:rPr>
                    <w:t xml:space="preserve"> Jobs</w:t>
                  </w:r>
                </w:p>
              </w:tc>
              <w:tc>
                <w:tcPr>
                  <w:tcW w:w="1858" w:type="dxa"/>
                </w:tcPr>
                <w:p w:rsidR="00E90CC1" w:rsidRPr="00993532" w:rsidRDefault="00E90CC1" w:rsidP="00E90CC1">
                  <w:pPr>
                    <w:jc w:val="both"/>
                    <w:rPr>
                      <w:rFonts w:ascii="Arial" w:hAnsi="Arial" w:cs="Arial"/>
                      <w:sz w:val="18"/>
                      <w:szCs w:val="18"/>
                    </w:rPr>
                  </w:pPr>
                </w:p>
              </w:tc>
              <w:tc>
                <w:tcPr>
                  <w:tcW w:w="1858" w:type="dxa"/>
                </w:tcPr>
                <w:p w:rsidR="00E90CC1" w:rsidRPr="00993532" w:rsidRDefault="00B07903" w:rsidP="00671B19">
                  <w:pPr>
                    <w:jc w:val="both"/>
                    <w:rPr>
                      <w:rFonts w:ascii="Arial" w:hAnsi="Arial" w:cs="Arial"/>
                      <w:sz w:val="18"/>
                      <w:szCs w:val="18"/>
                    </w:rPr>
                  </w:pPr>
                  <w:r>
                    <w:rPr>
                      <w:rFonts w:ascii="Arial" w:hAnsi="Arial" w:cs="Arial"/>
                      <w:sz w:val="18"/>
                      <w:szCs w:val="18"/>
                    </w:rPr>
                    <w:t>1,</w:t>
                  </w:r>
                  <w:r w:rsidR="00671B19">
                    <w:rPr>
                      <w:rFonts w:ascii="Arial" w:hAnsi="Arial" w:cs="Arial"/>
                      <w:sz w:val="18"/>
                      <w:szCs w:val="18"/>
                    </w:rPr>
                    <w:t>084</w:t>
                  </w:r>
                  <w:r w:rsidR="00C82B92">
                    <w:rPr>
                      <w:rFonts w:ascii="Arial" w:hAnsi="Arial" w:cs="Arial"/>
                      <w:sz w:val="18"/>
                      <w:szCs w:val="18"/>
                    </w:rPr>
                    <w:t xml:space="preserve"> (with 10% void)</w:t>
                  </w:r>
                </w:p>
              </w:tc>
              <w:tc>
                <w:tcPr>
                  <w:tcW w:w="1859" w:type="dxa"/>
                </w:tcPr>
                <w:p w:rsidR="00E90CC1" w:rsidRPr="00993532" w:rsidRDefault="00B07903" w:rsidP="00671B19">
                  <w:pPr>
                    <w:jc w:val="both"/>
                    <w:rPr>
                      <w:rFonts w:ascii="Arial" w:hAnsi="Arial" w:cs="Arial"/>
                      <w:sz w:val="18"/>
                      <w:szCs w:val="18"/>
                    </w:rPr>
                  </w:pPr>
                  <w:r>
                    <w:rPr>
                      <w:rFonts w:ascii="Arial" w:hAnsi="Arial" w:cs="Arial"/>
                      <w:sz w:val="18"/>
                      <w:szCs w:val="18"/>
                    </w:rPr>
                    <w:t>1,</w:t>
                  </w:r>
                  <w:r w:rsidR="00671B19">
                    <w:rPr>
                      <w:rFonts w:ascii="Arial" w:hAnsi="Arial" w:cs="Arial"/>
                      <w:sz w:val="18"/>
                      <w:szCs w:val="18"/>
                    </w:rPr>
                    <w:t>084</w:t>
                  </w:r>
                  <w:r w:rsidR="00AA21F0">
                    <w:rPr>
                      <w:rFonts w:ascii="Arial" w:hAnsi="Arial" w:cs="Arial"/>
                      <w:sz w:val="18"/>
                      <w:szCs w:val="18"/>
                    </w:rPr>
                    <w:t xml:space="preserve"> </w:t>
                  </w:r>
                  <w:r w:rsidR="00C82B92">
                    <w:rPr>
                      <w:rFonts w:ascii="Arial" w:hAnsi="Arial" w:cs="Arial"/>
                      <w:sz w:val="18"/>
                      <w:szCs w:val="18"/>
                    </w:rPr>
                    <w:t>(with 10% void)</w:t>
                  </w:r>
                </w:p>
              </w:tc>
            </w:tr>
          </w:tbl>
          <w:p w:rsidR="00E90CC1" w:rsidRDefault="00E90CC1" w:rsidP="00E90CC1">
            <w:pPr>
              <w:rPr>
                <w:rFonts w:cstheme="minorHAnsi"/>
              </w:rPr>
            </w:pPr>
          </w:p>
          <w:p w:rsidR="00C36C9E" w:rsidRDefault="00C82B92" w:rsidP="00E90CC1">
            <w:pPr>
              <w:rPr>
                <w:rFonts w:cstheme="minorHAnsi"/>
              </w:rPr>
            </w:pPr>
            <w:r>
              <w:rPr>
                <w:rFonts w:cstheme="minorHAnsi"/>
              </w:rPr>
              <w:t>A profile of the likely timing of the ne</w:t>
            </w:r>
            <w:r w:rsidR="00F42166">
              <w:rPr>
                <w:rFonts w:cstheme="minorHAnsi"/>
              </w:rPr>
              <w:t>w gross jobs is presented below</w:t>
            </w:r>
            <w:r w:rsidR="00C80E1C">
              <w:rPr>
                <w:rFonts w:cstheme="minorHAnsi"/>
              </w:rPr>
              <w:t xml:space="preserve"> which shows them being delivered over the period from 2016/17 to 2020/21 in line with realistic market expectations of occupier demand/take-up as per HBDL’s expectations</w:t>
            </w:r>
            <w:r w:rsidR="00F42166">
              <w:rPr>
                <w:rFonts w:cstheme="minorHAnsi"/>
              </w:rPr>
              <w:t>. This equates to c.5,000 sqm of B1 floorsp</w:t>
            </w:r>
            <w:r w:rsidR="00671B19">
              <w:rPr>
                <w:rFonts w:cstheme="minorHAnsi"/>
              </w:rPr>
              <w:t>ace delivery/take up per annum which is considered wholly reasonable in the context of the local market</w:t>
            </w:r>
            <w:r w:rsidR="00C80E1C">
              <w:rPr>
                <w:rFonts w:cstheme="minorHAnsi"/>
              </w:rPr>
              <w:t>, current demand prospects</w:t>
            </w:r>
            <w:r w:rsidR="00671B19">
              <w:rPr>
                <w:rFonts w:cstheme="minorHAnsi"/>
              </w:rPr>
              <w:t xml:space="preserve"> and the profile of the ABP site. </w:t>
            </w:r>
            <w:r w:rsidR="006D5C47">
              <w:rPr>
                <w:rFonts w:cstheme="minorHAnsi"/>
              </w:rPr>
              <w:t xml:space="preserve">Jobs are expected to come forward from 2017/18 as the opening year. </w:t>
            </w:r>
          </w:p>
          <w:p w:rsidR="00C82B92" w:rsidRDefault="00C82B92" w:rsidP="00E90CC1">
            <w:pPr>
              <w:rPr>
                <w:rFonts w:cstheme="minorHAnsi"/>
              </w:rPr>
            </w:pPr>
          </w:p>
          <w:p w:rsidR="00C82B92" w:rsidRDefault="00671B19" w:rsidP="00E90CC1">
            <w:pPr>
              <w:rPr>
                <w:rFonts w:cstheme="minorHAnsi"/>
              </w:rPr>
            </w:pPr>
            <w:r>
              <w:rPr>
                <w:noProof/>
              </w:rPr>
              <w:drawing>
                <wp:inline distT="0" distB="0" distL="0" distR="0">
                  <wp:extent cx="4895238" cy="771429"/>
                  <wp:effectExtent l="19050" t="19050" r="19685" b="1016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4895238" cy="771429"/>
                          </a:xfrm>
                          <a:prstGeom prst="rect">
                            <a:avLst/>
                          </a:prstGeom>
                          <a:ln>
                            <a:solidFill>
                              <a:schemeClr val="tx1"/>
                            </a:solidFill>
                          </a:ln>
                        </pic:spPr>
                      </pic:pic>
                    </a:graphicData>
                  </a:graphic>
                </wp:inline>
              </w:drawing>
            </w:r>
          </w:p>
          <w:p w:rsidR="00C36C9E" w:rsidRDefault="00C36C9E" w:rsidP="00E90CC1">
            <w:pPr>
              <w:rPr>
                <w:rFonts w:cstheme="minorHAnsi"/>
              </w:rPr>
            </w:pPr>
          </w:p>
          <w:p w:rsidR="00E90CC1" w:rsidRDefault="00E90CC1" w:rsidP="002B6E1B">
            <w:pPr>
              <w:jc w:val="both"/>
              <w:rPr>
                <w:rFonts w:cstheme="minorHAnsi"/>
                <w:b/>
              </w:rPr>
            </w:pPr>
            <w:r w:rsidRPr="00E90CC1">
              <w:rPr>
                <w:rFonts w:cstheme="minorHAnsi"/>
                <w:b/>
              </w:rPr>
              <w:t xml:space="preserve">Preferred Option - Net additional </w:t>
            </w:r>
            <w:r w:rsidR="00C82B92">
              <w:rPr>
                <w:rFonts w:cstheme="minorHAnsi"/>
                <w:b/>
              </w:rPr>
              <w:t xml:space="preserve">employment </w:t>
            </w:r>
            <w:r w:rsidRPr="00E90CC1">
              <w:rPr>
                <w:rFonts w:cstheme="minorHAnsi"/>
                <w:b/>
              </w:rPr>
              <w:t xml:space="preserve">outputs – </w:t>
            </w:r>
            <w:r w:rsidR="00C82B92">
              <w:rPr>
                <w:rFonts w:cstheme="minorHAnsi"/>
                <w:b/>
              </w:rPr>
              <w:t xml:space="preserve">methodology and </w:t>
            </w:r>
            <w:r w:rsidRPr="00E90CC1">
              <w:rPr>
                <w:rFonts w:cstheme="minorHAnsi"/>
                <w:b/>
              </w:rPr>
              <w:t>key assumptions</w:t>
            </w:r>
          </w:p>
          <w:p w:rsidR="00C82B92" w:rsidRDefault="00C82B92" w:rsidP="00E90CC1">
            <w:pPr>
              <w:rPr>
                <w:rFonts w:cstheme="minorHAnsi"/>
                <w:b/>
              </w:rPr>
            </w:pPr>
          </w:p>
          <w:p w:rsidR="00C82B92" w:rsidRPr="00D2533B" w:rsidRDefault="00C82B92" w:rsidP="00D2533B">
            <w:pPr>
              <w:jc w:val="both"/>
              <w:rPr>
                <w:rFonts w:cstheme="minorHAnsi"/>
              </w:rPr>
            </w:pPr>
            <w:r w:rsidRPr="00D2533B">
              <w:rPr>
                <w:rFonts w:cstheme="minorHAnsi"/>
              </w:rPr>
              <w:t xml:space="preserve">Factors of additionality have been accounted for in </w:t>
            </w:r>
            <w:r w:rsidR="00462784" w:rsidRPr="00D2533B">
              <w:rPr>
                <w:rFonts w:cstheme="minorHAnsi"/>
              </w:rPr>
              <w:t>determining the likely net additional employment impacts of the project. This draws upon the HCA Additionality Guide</w:t>
            </w:r>
            <w:r w:rsidR="00711BDA">
              <w:rPr>
                <w:rFonts w:cstheme="minorHAnsi"/>
              </w:rPr>
              <w:t>, the BIS Occasional Paper No.1 (2009)</w:t>
            </w:r>
            <w:r w:rsidR="00462784" w:rsidRPr="00D2533B">
              <w:rPr>
                <w:rFonts w:cstheme="minorHAnsi"/>
              </w:rPr>
              <w:t xml:space="preserve"> and our professional experience of previously assessing likely net additional impacts. It is assumed that the area of impact is the SELEP functional economic area for the purposes of this analysis. The following assumptions have been made:</w:t>
            </w:r>
          </w:p>
          <w:p w:rsidR="00E90CC1" w:rsidRDefault="00E90CC1" w:rsidP="00E90CC1">
            <w:pPr>
              <w:rPr>
                <w:rFonts w:cstheme="minorHAnsi"/>
                <w:b/>
              </w:rPr>
            </w:pPr>
          </w:p>
          <w:p w:rsidR="00E90CC1" w:rsidRPr="00E90CC1" w:rsidRDefault="00E90CC1" w:rsidP="00D2533B">
            <w:pPr>
              <w:jc w:val="both"/>
              <w:rPr>
                <w:rFonts w:cstheme="minorHAnsi"/>
                <w:b/>
                <w:i/>
              </w:rPr>
            </w:pPr>
            <w:r w:rsidRPr="00E90CC1">
              <w:rPr>
                <w:rFonts w:cstheme="minorHAnsi"/>
                <w:b/>
                <w:i/>
              </w:rPr>
              <w:t>Leakage</w:t>
            </w:r>
            <w:r w:rsidR="00462784">
              <w:rPr>
                <w:rFonts w:cstheme="minorHAnsi"/>
                <w:b/>
                <w:i/>
              </w:rPr>
              <w:t xml:space="preserve"> – </w:t>
            </w:r>
            <w:r w:rsidR="00462784" w:rsidRPr="00D2533B">
              <w:rPr>
                <w:rFonts w:cstheme="minorHAnsi"/>
              </w:rPr>
              <w:t xml:space="preserve">a 15% leakage rate has been assumed for B1 related jobs and a 5% for the C1 hotel jobs. This reflects the large SELEP area of impact and the fact that the vast majority of jobs are expected to be taken by those residing within the SELEP area, with the assumption that some workers may have a higher propensity to commute further afield from outside </w:t>
            </w:r>
            <w:r w:rsidR="00462784" w:rsidRPr="00D2533B">
              <w:rPr>
                <w:rFonts w:cstheme="minorHAnsi"/>
              </w:rPr>
              <w:lastRenderedPageBreak/>
              <w:t>the SELEP area in relation to the higher value B1 employment opportunities.</w:t>
            </w:r>
            <w:r w:rsidR="00462784">
              <w:rPr>
                <w:rFonts w:cstheme="minorHAnsi"/>
                <w:b/>
                <w:i/>
              </w:rPr>
              <w:t xml:space="preserve"> </w:t>
            </w:r>
          </w:p>
          <w:p w:rsidR="00E90CC1" w:rsidRPr="00E90CC1" w:rsidRDefault="00E90CC1" w:rsidP="00E90CC1">
            <w:pPr>
              <w:rPr>
                <w:rFonts w:cstheme="minorHAnsi"/>
                <w:b/>
                <w:i/>
              </w:rPr>
            </w:pPr>
          </w:p>
          <w:p w:rsidR="00680392" w:rsidRDefault="00E90CC1" w:rsidP="00D2533B">
            <w:pPr>
              <w:jc w:val="both"/>
              <w:rPr>
                <w:rFonts w:cstheme="minorHAnsi"/>
              </w:rPr>
            </w:pPr>
            <w:r w:rsidRPr="00E90CC1">
              <w:rPr>
                <w:rFonts w:cstheme="minorHAnsi"/>
                <w:b/>
                <w:i/>
              </w:rPr>
              <w:t xml:space="preserve">Displacement </w:t>
            </w:r>
            <w:r w:rsidR="00462784">
              <w:rPr>
                <w:rFonts w:cstheme="minorHAnsi"/>
                <w:b/>
                <w:i/>
              </w:rPr>
              <w:t xml:space="preserve">– </w:t>
            </w:r>
            <w:r w:rsidR="00462784" w:rsidRPr="00D2533B">
              <w:rPr>
                <w:rFonts w:cstheme="minorHAnsi"/>
              </w:rPr>
              <w:t>a 40% displacement rate has been assumed for B1 offi</w:t>
            </w:r>
            <w:r w:rsidR="00B95CCB" w:rsidRPr="00D2533B">
              <w:rPr>
                <w:rFonts w:cstheme="minorHAnsi"/>
              </w:rPr>
              <w:t>ce outputs and a 70% assumption</w:t>
            </w:r>
            <w:r w:rsidR="00462784" w:rsidRPr="00D2533B">
              <w:rPr>
                <w:rFonts w:cstheme="minorHAnsi"/>
              </w:rPr>
              <w:t xml:space="preserve"> has been applied to C1 hotel outputs. 40% equates to around a ‘medium’ rate as per the Additionality Guide and 70% is more akin to the definition of ‘high’ displacement. For B1 office employment, it is accepted that a proportion of the floorspace may be taken by businesses </w:t>
            </w:r>
            <w:r w:rsidR="00B95CCB" w:rsidRPr="00D2533B">
              <w:rPr>
                <w:rFonts w:cstheme="minorHAnsi"/>
              </w:rPr>
              <w:t>currently located within Southend and the wider LEP area, albeit a number of these relocating businesses may be attracted to the ABP site given the opportunities for business expansion it will provide. Given the lack of available and suitable high quality premises in the area, the scheme may attract local businesses which may otherwise have left the area in pursuit of more suitable employment premises/land</w:t>
            </w:r>
            <w:r w:rsidR="00D2533B">
              <w:rPr>
                <w:rFonts w:cstheme="minorHAnsi"/>
              </w:rPr>
              <w:t xml:space="preserve"> (i.e. ther</w:t>
            </w:r>
            <w:r w:rsidR="00DE3A53">
              <w:rPr>
                <w:rFonts w:cstheme="minorHAnsi"/>
              </w:rPr>
              <w:t xml:space="preserve">e could be </w:t>
            </w:r>
            <w:r w:rsidR="00D2533B">
              <w:rPr>
                <w:rFonts w:cstheme="minorHAnsi"/>
              </w:rPr>
              <w:t>safeguarding as well as expansion benefits)</w:t>
            </w:r>
            <w:r w:rsidR="00B95CCB" w:rsidRPr="00D2533B">
              <w:rPr>
                <w:rFonts w:cstheme="minorHAnsi"/>
              </w:rPr>
              <w:t xml:space="preserve">. </w:t>
            </w:r>
          </w:p>
          <w:p w:rsidR="00680392" w:rsidRDefault="00680392" w:rsidP="00D2533B">
            <w:pPr>
              <w:jc w:val="both"/>
              <w:rPr>
                <w:rFonts w:cstheme="minorHAnsi"/>
              </w:rPr>
            </w:pPr>
          </w:p>
          <w:p w:rsidR="00E90CC1" w:rsidRDefault="00B95CCB" w:rsidP="00D2533B">
            <w:pPr>
              <w:jc w:val="both"/>
            </w:pPr>
            <w:r w:rsidRPr="00D2533B">
              <w:rPr>
                <w:rFonts w:cstheme="minorHAnsi"/>
              </w:rPr>
              <w:t xml:space="preserve">Furthermore, the profile of the site and its brand and its proximity to the Airport and the cluster of MRO activity that already exists on Aviation Way, </w:t>
            </w:r>
            <w:r w:rsidR="00680392">
              <w:rPr>
                <w:rFonts w:cstheme="minorHAnsi"/>
              </w:rPr>
              <w:t>will differentiate</w:t>
            </w:r>
            <w:r w:rsidRPr="00D2533B">
              <w:rPr>
                <w:rFonts w:cstheme="minorHAnsi"/>
              </w:rPr>
              <w:t xml:space="preserve"> this</w:t>
            </w:r>
            <w:r w:rsidR="00D2533B">
              <w:rPr>
                <w:rFonts w:cstheme="minorHAnsi"/>
              </w:rPr>
              <w:t xml:space="preserve"> site</w:t>
            </w:r>
            <w:r w:rsidRPr="00D2533B">
              <w:rPr>
                <w:rFonts w:cstheme="minorHAnsi"/>
              </w:rPr>
              <w:t xml:space="preserve"> in the market place and it could therefore be more attractive to inward investors and high value businesses</w:t>
            </w:r>
            <w:r w:rsidR="00D2533B">
              <w:rPr>
                <w:rFonts w:cstheme="minorHAnsi"/>
              </w:rPr>
              <w:t xml:space="preserve"> (particularly those linked in one way or another to the aviation sector and its supply chains)</w:t>
            </w:r>
            <w:r w:rsidRPr="00D2533B">
              <w:rPr>
                <w:rFonts w:cstheme="minorHAnsi"/>
              </w:rPr>
              <w:t xml:space="preserve"> not currently located in the LEP area seeking to be located next to one of the fastest growing airports in Europe. </w:t>
            </w:r>
            <w:r w:rsidR="00D2533B">
              <w:rPr>
                <w:rFonts w:cstheme="minorHAnsi"/>
              </w:rPr>
              <w:t xml:space="preserve">The </w:t>
            </w:r>
            <w:r w:rsidR="00680392">
              <w:rPr>
                <w:rFonts w:cstheme="minorHAnsi"/>
              </w:rPr>
              <w:t xml:space="preserve">significant </w:t>
            </w:r>
            <w:r w:rsidR="00D2533B">
              <w:rPr>
                <w:rFonts w:cstheme="minorHAnsi"/>
              </w:rPr>
              <w:t xml:space="preserve">connectivity benefits of the site (air/rail/road) are also likely to make it attractive to businesses outside of the aviation sector. </w:t>
            </w:r>
            <w:r w:rsidR="00D2533B" w:rsidRPr="00D2533B">
              <w:rPr>
                <w:rFonts w:cstheme="minorHAnsi"/>
              </w:rPr>
              <w:t>There may also be spin out/start-up businesses which may be interested in occupying the proposed high quality busi</w:t>
            </w:r>
            <w:r w:rsidR="00D2533B">
              <w:rPr>
                <w:rFonts w:cstheme="minorHAnsi"/>
              </w:rPr>
              <w:t xml:space="preserve">ness/innovation/R&amp;D floorspace given the lack of supply of this type of space in the area. Due to the </w:t>
            </w:r>
            <w:r w:rsidR="00D2533B">
              <w:t xml:space="preserve">differentiated focus and attributes of the site/scheme, the effect will be to complement, rather than compete with, other strategic sites in the vicinity and wider LEP area. </w:t>
            </w:r>
          </w:p>
          <w:p w:rsidR="00D2533B" w:rsidRDefault="00D2533B" w:rsidP="00D2533B">
            <w:pPr>
              <w:jc w:val="both"/>
            </w:pPr>
          </w:p>
          <w:p w:rsidR="00D2533B" w:rsidRPr="00D2533B" w:rsidRDefault="00D2533B" w:rsidP="00D2533B">
            <w:pPr>
              <w:jc w:val="both"/>
              <w:rPr>
                <w:rFonts w:cstheme="minorHAnsi"/>
              </w:rPr>
            </w:pPr>
            <w:r>
              <w:t xml:space="preserve">A higher 70% displacement assumption has been applied to the </w:t>
            </w:r>
            <w:r w:rsidR="00680392">
              <w:t>C1 hotel uses on the basis that this a generally lower value use type</w:t>
            </w:r>
            <w:r w:rsidR="00DE3A53">
              <w:t xml:space="preserve"> (in GVA terms)</w:t>
            </w:r>
            <w:r w:rsidR="00680392">
              <w:t xml:space="preserve"> with a higher propensity for </w:t>
            </w:r>
            <w:r w:rsidR="00DE3A53">
              <w:t xml:space="preserve">the </w:t>
            </w:r>
            <w:r w:rsidR="00680392">
              <w:t xml:space="preserve">displacement of </w:t>
            </w:r>
            <w:r w:rsidR="00DE3A53">
              <w:t xml:space="preserve">existing </w:t>
            </w:r>
            <w:r w:rsidR="00680392">
              <w:t xml:space="preserve">economic activity. </w:t>
            </w:r>
          </w:p>
          <w:p w:rsidR="00E90CC1" w:rsidRPr="00E90CC1" w:rsidRDefault="00E90CC1" w:rsidP="00E90CC1">
            <w:pPr>
              <w:rPr>
                <w:rFonts w:cstheme="minorHAnsi"/>
                <w:b/>
                <w:i/>
              </w:rPr>
            </w:pPr>
          </w:p>
          <w:p w:rsidR="00E90CC1" w:rsidRDefault="00E90CC1" w:rsidP="00186915">
            <w:pPr>
              <w:jc w:val="both"/>
              <w:rPr>
                <w:rFonts w:cstheme="minorHAnsi"/>
              </w:rPr>
            </w:pPr>
            <w:r w:rsidRPr="00E90CC1">
              <w:rPr>
                <w:rFonts w:cstheme="minorHAnsi"/>
                <w:b/>
                <w:i/>
              </w:rPr>
              <w:t>Multiplier</w:t>
            </w:r>
            <w:r w:rsidR="00680392">
              <w:rPr>
                <w:rFonts w:cstheme="minorHAnsi"/>
                <w:b/>
                <w:i/>
              </w:rPr>
              <w:t xml:space="preserve"> – </w:t>
            </w:r>
            <w:r w:rsidR="00680392">
              <w:rPr>
                <w:rFonts w:cstheme="minorHAnsi"/>
              </w:rPr>
              <w:t>the following multiplier rates have been assumed based on the Additionality Guide to account for indirect and induced economic impacts:</w:t>
            </w:r>
          </w:p>
          <w:p w:rsidR="00680392" w:rsidRDefault="00680392" w:rsidP="00E90CC1">
            <w:pPr>
              <w:rPr>
                <w:rFonts w:cstheme="minorHAnsi"/>
              </w:rPr>
            </w:pPr>
          </w:p>
          <w:p w:rsidR="00680392" w:rsidRPr="00186915" w:rsidRDefault="00680392" w:rsidP="00186915">
            <w:pPr>
              <w:pStyle w:val="ListParagraph"/>
              <w:numPr>
                <w:ilvl w:val="0"/>
                <w:numId w:val="26"/>
              </w:numPr>
              <w:ind w:left="360"/>
              <w:rPr>
                <w:rFonts w:cstheme="minorHAnsi"/>
              </w:rPr>
            </w:pPr>
            <w:r w:rsidRPr="00186915">
              <w:rPr>
                <w:rFonts w:cstheme="minorHAnsi"/>
              </w:rPr>
              <w:t xml:space="preserve">B1 </w:t>
            </w:r>
            <w:r w:rsidR="00186915" w:rsidRPr="00186915">
              <w:rPr>
                <w:rFonts w:cstheme="minorHAnsi"/>
              </w:rPr>
              <w:t xml:space="preserve">office </w:t>
            </w:r>
            <w:r w:rsidRPr="00186915">
              <w:rPr>
                <w:rFonts w:cstheme="minorHAnsi"/>
              </w:rPr>
              <w:t>uses –</w:t>
            </w:r>
            <w:r w:rsidR="00186915" w:rsidRPr="00186915">
              <w:rPr>
                <w:rFonts w:cstheme="minorHAnsi"/>
              </w:rPr>
              <w:t xml:space="preserve"> 1</w:t>
            </w:r>
            <w:r w:rsidRPr="00186915">
              <w:rPr>
                <w:rFonts w:cstheme="minorHAnsi"/>
              </w:rPr>
              <w:t xml:space="preserve">.36 </w:t>
            </w:r>
            <w:r w:rsidR="00186915" w:rsidRPr="00186915">
              <w:rPr>
                <w:rFonts w:cstheme="minorHAnsi"/>
              </w:rPr>
              <w:t>–</w:t>
            </w:r>
            <w:r w:rsidRPr="00186915">
              <w:rPr>
                <w:rFonts w:cstheme="minorHAnsi"/>
              </w:rPr>
              <w:t xml:space="preserve"> </w:t>
            </w:r>
            <w:r w:rsidR="00186915" w:rsidRPr="00186915">
              <w:rPr>
                <w:rFonts w:cstheme="minorHAnsi"/>
              </w:rPr>
              <w:t>reflects a mid-way point between the local and regional multipliers</w:t>
            </w:r>
            <w:r w:rsidR="00DE3A53">
              <w:rPr>
                <w:rFonts w:cstheme="minorHAnsi"/>
              </w:rPr>
              <w:t xml:space="preserve"> for B1 activity</w:t>
            </w:r>
            <w:r w:rsidR="00186915" w:rsidRPr="00186915">
              <w:rPr>
                <w:rFonts w:cstheme="minorHAnsi"/>
              </w:rPr>
              <w:t xml:space="preserve"> to reflect the LEP/sub-regional area of impact</w:t>
            </w:r>
          </w:p>
          <w:p w:rsidR="00186915" w:rsidRDefault="00186915" w:rsidP="00186915">
            <w:pPr>
              <w:rPr>
                <w:rFonts w:cstheme="minorHAnsi"/>
              </w:rPr>
            </w:pPr>
          </w:p>
          <w:p w:rsidR="00186915" w:rsidRDefault="00186915" w:rsidP="00186915">
            <w:pPr>
              <w:pStyle w:val="ListParagraph"/>
              <w:numPr>
                <w:ilvl w:val="0"/>
                <w:numId w:val="26"/>
              </w:numPr>
              <w:ind w:left="360"/>
              <w:rPr>
                <w:rFonts w:cstheme="minorHAnsi"/>
              </w:rPr>
            </w:pPr>
            <w:r w:rsidRPr="00186915">
              <w:rPr>
                <w:rFonts w:cstheme="minorHAnsi"/>
              </w:rPr>
              <w:t>C1 hotel uses – 1.47 - reflects a mid-way point between the local and regional multipliers</w:t>
            </w:r>
            <w:r w:rsidR="00DE3A53">
              <w:rPr>
                <w:rFonts w:cstheme="minorHAnsi"/>
              </w:rPr>
              <w:t xml:space="preserve"> for ‘recreational activity’</w:t>
            </w:r>
            <w:r w:rsidRPr="00186915">
              <w:rPr>
                <w:rFonts w:cstheme="minorHAnsi"/>
              </w:rPr>
              <w:t xml:space="preserve"> to reflect the LEP/sub-regional area of impact</w:t>
            </w:r>
          </w:p>
          <w:p w:rsidR="00B16197" w:rsidRPr="00B16197" w:rsidRDefault="00B16197" w:rsidP="00B16197">
            <w:pPr>
              <w:pStyle w:val="ListParagraph"/>
              <w:rPr>
                <w:rFonts w:cstheme="minorHAnsi"/>
              </w:rPr>
            </w:pPr>
          </w:p>
          <w:p w:rsidR="00B16197" w:rsidRPr="00B16197" w:rsidRDefault="00B16197" w:rsidP="00AA21F0">
            <w:pPr>
              <w:jc w:val="both"/>
              <w:rPr>
                <w:rFonts w:cstheme="minorHAnsi"/>
              </w:rPr>
            </w:pPr>
            <w:r w:rsidRPr="00B16197">
              <w:rPr>
                <w:rFonts w:cstheme="minorHAnsi"/>
                <w:b/>
                <w:i/>
              </w:rPr>
              <w:t>Deadweight</w:t>
            </w:r>
            <w:r>
              <w:rPr>
                <w:rFonts w:cstheme="minorHAnsi"/>
              </w:rPr>
              <w:t xml:space="preserve"> – a nil deadweight output position is assumed on the basis that in the absence of LGF funding, the required offsite infrastructure works will not be delivered and the phase 1 development site will not therefore be unlocked for commercial development, as explained above. </w:t>
            </w:r>
            <w:r w:rsidR="00EC1C0C">
              <w:rPr>
                <w:rFonts w:cstheme="minorHAnsi"/>
              </w:rPr>
              <w:t xml:space="preserve">Although there is a Council Capital Programme investment commitment for the ABP as agreed as part of the DA with HBDL, this is allocated towards funding on site infrastructure costs and the required relocation of the rugby club and is also needed to contribute towards the capital costs of wider phase 2 on site infrastructure and the delivery of the proposed MedTech innovation centre as part of this. </w:t>
            </w:r>
            <w:r>
              <w:rPr>
                <w:rFonts w:cstheme="minorHAnsi"/>
              </w:rPr>
              <w:t xml:space="preserve">No employment outputs are therefore attributable under this option. </w:t>
            </w:r>
          </w:p>
          <w:p w:rsidR="007E6350" w:rsidRDefault="007E6350" w:rsidP="00E90CC1">
            <w:pPr>
              <w:rPr>
                <w:rFonts w:cstheme="minorHAnsi"/>
                <w:b/>
                <w:i/>
              </w:rPr>
            </w:pPr>
          </w:p>
          <w:p w:rsidR="00E90CC1" w:rsidRDefault="00186915" w:rsidP="00E90CC1">
            <w:pPr>
              <w:rPr>
                <w:rFonts w:cstheme="minorHAnsi"/>
              </w:rPr>
            </w:pPr>
            <w:r w:rsidRPr="00186915">
              <w:rPr>
                <w:rFonts w:cstheme="minorHAnsi"/>
              </w:rPr>
              <w:t>A summary of the net additional employment im</w:t>
            </w:r>
            <w:r>
              <w:rPr>
                <w:rFonts w:cstheme="minorHAnsi"/>
              </w:rPr>
              <w:t xml:space="preserve">pacts for the phase 1 scheme is </w:t>
            </w:r>
            <w:r w:rsidRPr="00186915">
              <w:rPr>
                <w:rFonts w:cstheme="minorHAnsi"/>
              </w:rPr>
              <w:t>presented below:</w:t>
            </w:r>
          </w:p>
          <w:p w:rsidR="00186915" w:rsidRDefault="00186915" w:rsidP="00E90CC1">
            <w:pPr>
              <w:rPr>
                <w:rFonts w:cstheme="minorHAnsi"/>
              </w:rPr>
            </w:pPr>
          </w:p>
          <w:p w:rsidR="00186915" w:rsidRPr="00186915" w:rsidRDefault="00671B19" w:rsidP="00E90CC1">
            <w:pPr>
              <w:rPr>
                <w:rFonts w:cstheme="minorHAnsi"/>
              </w:rPr>
            </w:pPr>
            <w:r>
              <w:rPr>
                <w:noProof/>
              </w:rPr>
              <w:lastRenderedPageBreak/>
              <w:drawing>
                <wp:inline distT="0" distB="0" distL="0" distR="0">
                  <wp:extent cx="5033940" cy="668442"/>
                  <wp:effectExtent l="19050" t="19050" r="14605" b="177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5088686" cy="675712"/>
                          </a:xfrm>
                          <a:prstGeom prst="rect">
                            <a:avLst/>
                          </a:prstGeom>
                          <a:ln>
                            <a:solidFill>
                              <a:schemeClr val="tx1"/>
                            </a:solidFill>
                          </a:ln>
                        </pic:spPr>
                      </pic:pic>
                    </a:graphicData>
                  </a:graphic>
                </wp:inline>
              </w:drawing>
            </w:r>
          </w:p>
          <w:p w:rsidR="00186915" w:rsidRDefault="00186915" w:rsidP="00E90CC1">
            <w:pPr>
              <w:rPr>
                <w:rFonts w:cstheme="minorHAnsi"/>
                <w:b/>
              </w:rPr>
            </w:pPr>
          </w:p>
          <w:p w:rsidR="00186915" w:rsidRDefault="007028A7" w:rsidP="00186915">
            <w:pPr>
              <w:ind w:left="33" w:hanging="33"/>
              <w:rPr>
                <w:b/>
              </w:rPr>
            </w:pPr>
            <w:r>
              <w:rPr>
                <w:b/>
              </w:rPr>
              <w:t xml:space="preserve">Preferred Option - </w:t>
            </w:r>
            <w:r w:rsidR="00186915">
              <w:rPr>
                <w:b/>
              </w:rPr>
              <w:t>Gross Value Added (GVA)</w:t>
            </w:r>
          </w:p>
          <w:p w:rsidR="00E90CC1" w:rsidRDefault="00E90CC1" w:rsidP="00E90CC1">
            <w:pPr>
              <w:rPr>
                <w:rFonts w:cstheme="minorHAnsi"/>
                <w:b/>
              </w:rPr>
            </w:pPr>
          </w:p>
          <w:p w:rsidR="00186915" w:rsidRPr="00AA7FFA" w:rsidRDefault="00723641" w:rsidP="00AA7FFA">
            <w:pPr>
              <w:jc w:val="both"/>
              <w:rPr>
                <w:rFonts w:cstheme="minorHAnsi"/>
              </w:rPr>
            </w:pPr>
            <w:r w:rsidRPr="00AA7FFA">
              <w:rPr>
                <w:rFonts w:cstheme="minorHAnsi"/>
              </w:rPr>
              <w:t xml:space="preserve">The direct and indirect GVA impacts of the scheme have been calculated, with the direct impacts attributable to the construction jobs only and the indirect impacts attributable to the jobs that will be accommodated within the phase 1 floorspace following the implementation of the required infrastructure works. </w:t>
            </w:r>
          </w:p>
          <w:p w:rsidR="00723641" w:rsidRPr="00AA7FFA" w:rsidRDefault="00723641" w:rsidP="00AA7FFA">
            <w:pPr>
              <w:jc w:val="both"/>
              <w:rPr>
                <w:rFonts w:cstheme="minorHAnsi"/>
              </w:rPr>
            </w:pPr>
          </w:p>
          <w:p w:rsidR="00723641" w:rsidRDefault="00E9399A" w:rsidP="00AA7FFA">
            <w:pPr>
              <w:jc w:val="both"/>
              <w:rPr>
                <w:rFonts w:cstheme="minorHAnsi"/>
              </w:rPr>
            </w:pPr>
            <w:r>
              <w:rPr>
                <w:rFonts w:cstheme="minorHAnsi"/>
              </w:rPr>
              <w:t xml:space="preserve">Indirect </w:t>
            </w:r>
            <w:r w:rsidR="00723641" w:rsidRPr="00AA7FFA">
              <w:rPr>
                <w:rFonts w:cstheme="minorHAnsi"/>
              </w:rPr>
              <w:t xml:space="preserve">GVA impacts have been calculated through </w:t>
            </w:r>
            <w:r w:rsidR="00FD557E" w:rsidRPr="00AA7FFA">
              <w:rPr>
                <w:rFonts w:cstheme="minorHAnsi"/>
              </w:rPr>
              <w:t>applying a relevant average GVA per worker figure at the SELEP spatial scale</w:t>
            </w:r>
            <w:r w:rsidR="00207873">
              <w:rPr>
                <w:rFonts w:cstheme="minorHAnsi"/>
              </w:rPr>
              <w:t xml:space="preserve"> (based on 2012 data)</w:t>
            </w:r>
            <w:r w:rsidR="00FD557E" w:rsidRPr="00AA7FFA">
              <w:rPr>
                <w:rFonts w:cstheme="minorHAnsi"/>
              </w:rPr>
              <w:t xml:space="preserve"> to the net additional job figures by industry sector. GVA per worker data was obtained through </w:t>
            </w:r>
            <w:r w:rsidR="0066153A" w:rsidRPr="00AA7FFA">
              <w:rPr>
                <w:rFonts w:cstheme="minorHAnsi"/>
              </w:rPr>
              <w:t xml:space="preserve">identifying the total GVA output of each industry sector at the SELEP level from the ONS based on the most recent 2012 data. This was then divided by the total number of employees by relevant </w:t>
            </w:r>
            <w:r w:rsidR="00AA7FFA">
              <w:rPr>
                <w:rFonts w:cstheme="minorHAnsi"/>
              </w:rPr>
              <w:t>industry sector based on 2012 BRES data to identify an average GVA output per employee, as below:</w:t>
            </w:r>
          </w:p>
          <w:p w:rsidR="007028A7" w:rsidRDefault="007028A7" w:rsidP="00AA7FFA">
            <w:pPr>
              <w:jc w:val="both"/>
              <w:rPr>
                <w:rFonts w:cstheme="minorHAnsi"/>
              </w:rPr>
            </w:pPr>
          </w:p>
          <w:p w:rsidR="007028A7" w:rsidRDefault="007028A7" w:rsidP="00AA7FFA">
            <w:pPr>
              <w:jc w:val="both"/>
              <w:rPr>
                <w:rFonts w:cstheme="minorHAnsi"/>
              </w:rPr>
            </w:pPr>
            <w:r>
              <w:rPr>
                <w:noProof/>
              </w:rPr>
              <w:drawing>
                <wp:inline distT="0" distB="0" distL="0" distR="0">
                  <wp:extent cx="4742857" cy="1342857"/>
                  <wp:effectExtent l="19050" t="19050" r="19685" b="1016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4742857" cy="1342857"/>
                          </a:xfrm>
                          <a:prstGeom prst="rect">
                            <a:avLst/>
                          </a:prstGeom>
                          <a:ln>
                            <a:solidFill>
                              <a:schemeClr val="tx1"/>
                            </a:solidFill>
                          </a:ln>
                        </pic:spPr>
                      </pic:pic>
                    </a:graphicData>
                  </a:graphic>
                </wp:inline>
              </w:drawing>
            </w:r>
          </w:p>
          <w:p w:rsidR="00AA7FFA" w:rsidRDefault="00AA7FFA" w:rsidP="00AA7FFA">
            <w:pPr>
              <w:jc w:val="both"/>
              <w:rPr>
                <w:rFonts w:cstheme="minorHAnsi"/>
              </w:rPr>
            </w:pPr>
          </w:p>
          <w:p w:rsidR="007028A7" w:rsidRDefault="007028A7" w:rsidP="007028A7">
            <w:pPr>
              <w:jc w:val="both"/>
              <w:rPr>
                <w:rFonts w:cstheme="minorHAnsi"/>
              </w:rPr>
            </w:pPr>
            <w:r w:rsidRPr="007028A7">
              <w:rPr>
                <w:rFonts w:cstheme="minorHAnsi"/>
              </w:rPr>
              <w:t>The above figures were multiplied by the net additional employment figures by year to determine a net additional GVA impact by use type by year. The GVA impacts were modelled over a 10 year persistence of benefits period</w:t>
            </w:r>
            <w:r w:rsidR="00C80E1C">
              <w:rPr>
                <w:rFonts w:cstheme="minorHAnsi"/>
              </w:rPr>
              <w:t xml:space="preserve"> (from the point at which they are first realised in line with market-tested take up assumptions)</w:t>
            </w:r>
            <w:r w:rsidRPr="007028A7">
              <w:rPr>
                <w:rFonts w:cstheme="minorHAnsi"/>
              </w:rPr>
              <w:t xml:space="preserve"> in accordance with recognised Government appraisal guidance to derive the total gross GVA impacts over the 10 year period. These were then discounted back to a net present value using the Treasury’s 3.5% </w:t>
            </w:r>
            <w:r w:rsidR="00671B19">
              <w:rPr>
                <w:rFonts w:cstheme="minorHAnsi"/>
              </w:rPr>
              <w:t xml:space="preserve">approved </w:t>
            </w:r>
            <w:r w:rsidRPr="007028A7">
              <w:rPr>
                <w:rFonts w:cstheme="minorHAnsi"/>
              </w:rPr>
              <w:t xml:space="preserve">discount </w:t>
            </w:r>
            <w:r>
              <w:rPr>
                <w:rFonts w:cstheme="minorHAnsi"/>
              </w:rPr>
              <w:t>rate</w:t>
            </w:r>
            <w:r w:rsidR="00671B19">
              <w:rPr>
                <w:rFonts w:cstheme="minorHAnsi"/>
              </w:rPr>
              <w:t>.</w:t>
            </w:r>
            <w:r>
              <w:rPr>
                <w:rFonts w:cstheme="minorHAnsi"/>
              </w:rPr>
              <w:t xml:space="preserve"> </w:t>
            </w:r>
            <w:r w:rsidRPr="007028A7">
              <w:rPr>
                <w:rFonts w:cstheme="minorHAnsi"/>
              </w:rPr>
              <w:t>The total GVA impacts of the phase 1 scheme, relating to the permanent B1/C1 jobs, over a 10 year period</w:t>
            </w:r>
            <w:r w:rsidR="00C80E1C">
              <w:rPr>
                <w:rFonts w:cstheme="minorHAnsi"/>
              </w:rPr>
              <w:t xml:space="preserve"> commencing in 2016/17 as the base discount year</w:t>
            </w:r>
            <w:r w:rsidRPr="007028A7">
              <w:rPr>
                <w:rFonts w:cstheme="minorHAnsi"/>
              </w:rPr>
              <w:t xml:space="preserve"> are presented below:</w:t>
            </w:r>
          </w:p>
          <w:p w:rsidR="00AA21F0" w:rsidRDefault="00AA21F0" w:rsidP="007028A7">
            <w:pPr>
              <w:jc w:val="both"/>
              <w:rPr>
                <w:rFonts w:cstheme="minorHAnsi"/>
              </w:rPr>
            </w:pPr>
          </w:p>
          <w:p w:rsidR="00EC1C0C" w:rsidRDefault="00671B19" w:rsidP="007028A7">
            <w:pPr>
              <w:jc w:val="both"/>
              <w:rPr>
                <w:rFonts w:cstheme="minorHAnsi"/>
              </w:rPr>
            </w:pPr>
            <w:r>
              <w:rPr>
                <w:noProof/>
              </w:rPr>
              <w:drawing>
                <wp:inline distT="0" distB="0" distL="0" distR="0">
                  <wp:extent cx="3209524" cy="39047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3209524" cy="390476"/>
                          </a:xfrm>
                          <a:prstGeom prst="rect">
                            <a:avLst/>
                          </a:prstGeom>
                        </pic:spPr>
                      </pic:pic>
                    </a:graphicData>
                  </a:graphic>
                </wp:inline>
              </w:drawing>
            </w:r>
          </w:p>
          <w:p w:rsidR="00EC1C0C" w:rsidRDefault="00EC1C0C" w:rsidP="007028A7">
            <w:pPr>
              <w:jc w:val="both"/>
              <w:rPr>
                <w:rFonts w:cstheme="minorHAnsi"/>
              </w:rPr>
            </w:pPr>
          </w:p>
          <w:p w:rsidR="00E02B15" w:rsidRPr="00E02B15" w:rsidRDefault="007028A7" w:rsidP="00235F1F">
            <w:pPr>
              <w:jc w:val="both"/>
              <w:rPr>
                <w:rFonts w:cstheme="minorHAnsi"/>
              </w:rPr>
            </w:pPr>
            <w:r w:rsidRPr="00E02B15">
              <w:rPr>
                <w:rFonts w:cstheme="minorHAnsi"/>
              </w:rPr>
              <w:t xml:space="preserve">In addition to the above, </w:t>
            </w:r>
            <w:r w:rsidR="00E9399A" w:rsidRPr="00E02B15">
              <w:rPr>
                <w:rFonts w:cstheme="minorHAnsi"/>
              </w:rPr>
              <w:t>there will be</w:t>
            </w:r>
            <w:r w:rsidR="00E02B15" w:rsidRPr="00E02B15">
              <w:rPr>
                <w:rFonts w:cstheme="minorHAnsi"/>
              </w:rPr>
              <w:t xml:space="preserve"> GVA outputs associated with the construction works as below:</w:t>
            </w:r>
          </w:p>
          <w:p w:rsidR="00E02B15" w:rsidRPr="00E02B15" w:rsidRDefault="00E02B15" w:rsidP="00235F1F">
            <w:pPr>
              <w:jc w:val="both"/>
              <w:rPr>
                <w:rFonts w:cstheme="minorHAnsi"/>
              </w:rPr>
            </w:pPr>
          </w:p>
          <w:p w:rsidR="00186915" w:rsidRPr="00E02B15" w:rsidRDefault="00E9399A" w:rsidP="00235F1F">
            <w:pPr>
              <w:pStyle w:val="ListParagraph"/>
              <w:numPr>
                <w:ilvl w:val="0"/>
                <w:numId w:val="27"/>
              </w:numPr>
              <w:jc w:val="both"/>
              <w:rPr>
                <w:rFonts w:cstheme="minorHAnsi"/>
              </w:rPr>
            </w:pPr>
            <w:r w:rsidRPr="00E02B15">
              <w:rPr>
                <w:rFonts w:cstheme="minorHAnsi"/>
              </w:rPr>
              <w:t xml:space="preserve">direct GVA impacts </w:t>
            </w:r>
            <w:r w:rsidR="00E02B15" w:rsidRPr="00E02B15">
              <w:rPr>
                <w:rFonts w:cstheme="minorHAnsi"/>
              </w:rPr>
              <w:t>associated with the</w:t>
            </w:r>
            <w:r w:rsidR="000E6551">
              <w:rPr>
                <w:rFonts w:cstheme="minorHAnsi"/>
              </w:rPr>
              <w:t xml:space="preserve"> net additional</w:t>
            </w:r>
            <w:r w:rsidR="00E02B15" w:rsidRPr="00E02B15">
              <w:rPr>
                <w:rFonts w:cstheme="minorHAnsi"/>
              </w:rPr>
              <w:t xml:space="preserve"> temporary construction jobs to deliver the phase 1 infrastructure scheme</w:t>
            </w:r>
          </w:p>
          <w:p w:rsidR="00E02B15" w:rsidRDefault="00E02B15" w:rsidP="00235F1F">
            <w:pPr>
              <w:pStyle w:val="ListParagraph"/>
              <w:numPr>
                <w:ilvl w:val="0"/>
                <w:numId w:val="27"/>
              </w:numPr>
              <w:jc w:val="both"/>
              <w:rPr>
                <w:rFonts w:cstheme="minorHAnsi"/>
              </w:rPr>
            </w:pPr>
            <w:r w:rsidRPr="00E02B15">
              <w:rPr>
                <w:rFonts w:cstheme="minorHAnsi"/>
              </w:rPr>
              <w:t xml:space="preserve">indirect GVA impacts associated with the </w:t>
            </w:r>
            <w:r w:rsidR="000E6551">
              <w:rPr>
                <w:rFonts w:cstheme="minorHAnsi"/>
              </w:rPr>
              <w:t xml:space="preserve">net additional </w:t>
            </w:r>
            <w:r w:rsidRPr="00E02B15">
              <w:rPr>
                <w:rFonts w:cstheme="minorHAnsi"/>
              </w:rPr>
              <w:t xml:space="preserve">temporary construction jobs to deliver the phase 1 </w:t>
            </w:r>
            <w:r w:rsidR="00235F1F">
              <w:rPr>
                <w:rFonts w:cstheme="minorHAnsi"/>
              </w:rPr>
              <w:t>commercial floorspace</w:t>
            </w:r>
            <w:r w:rsidR="00AA21F0">
              <w:rPr>
                <w:rFonts w:cstheme="minorHAnsi"/>
              </w:rPr>
              <w:t xml:space="preserve"> </w:t>
            </w:r>
          </w:p>
          <w:p w:rsidR="00E02B15" w:rsidRDefault="00E02B15" w:rsidP="00235F1F">
            <w:pPr>
              <w:jc w:val="both"/>
              <w:rPr>
                <w:rFonts w:cstheme="minorHAnsi"/>
              </w:rPr>
            </w:pPr>
          </w:p>
          <w:p w:rsidR="00186915" w:rsidRDefault="00B16197" w:rsidP="00235F1F">
            <w:pPr>
              <w:jc w:val="both"/>
              <w:rPr>
                <w:rFonts w:cstheme="minorHAnsi"/>
              </w:rPr>
            </w:pPr>
            <w:r w:rsidRPr="00B07903">
              <w:rPr>
                <w:rFonts w:cstheme="minorHAnsi"/>
              </w:rPr>
              <w:t xml:space="preserve">The </w:t>
            </w:r>
            <w:r w:rsidR="00AA21F0" w:rsidRPr="00B07903">
              <w:rPr>
                <w:rFonts w:cstheme="minorHAnsi"/>
              </w:rPr>
              <w:t>direct</w:t>
            </w:r>
            <w:r w:rsidR="00E63B20" w:rsidRPr="00B07903">
              <w:rPr>
                <w:rFonts w:cstheme="minorHAnsi"/>
              </w:rPr>
              <w:t xml:space="preserve"> and indirect</w:t>
            </w:r>
            <w:r w:rsidR="00AA21F0" w:rsidRPr="00B07903">
              <w:rPr>
                <w:rFonts w:cstheme="minorHAnsi"/>
              </w:rPr>
              <w:t xml:space="preserve"> </w:t>
            </w:r>
            <w:r w:rsidRPr="00B07903">
              <w:rPr>
                <w:rFonts w:cstheme="minorHAnsi"/>
              </w:rPr>
              <w:t xml:space="preserve">GVA impacts </w:t>
            </w:r>
            <w:r w:rsidR="00AA21F0" w:rsidRPr="00B07903">
              <w:rPr>
                <w:rFonts w:cstheme="minorHAnsi"/>
              </w:rPr>
              <w:t>associated with the construction labour to deliver the infrastructure works</w:t>
            </w:r>
            <w:r w:rsidR="00E63B20" w:rsidRPr="00B07903">
              <w:rPr>
                <w:rFonts w:cstheme="minorHAnsi"/>
              </w:rPr>
              <w:t xml:space="preserve"> and commercial floorspace</w:t>
            </w:r>
            <w:r w:rsidR="00AA21F0" w:rsidRPr="00B07903">
              <w:rPr>
                <w:rFonts w:cstheme="minorHAnsi"/>
              </w:rPr>
              <w:t xml:space="preserve"> </w:t>
            </w:r>
            <w:r w:rsidRPr="00B07903">
              <w:rPr>
                <w:rFonts w:cstheme="minorHAnsi"/>
              </w:rPr>
              <w:t>are presented below based on the same methodology as above:</w:t>
            </w:r>
          </w:p>
          <w:p w:rsidR="00B16197" w:rsidRDefault="00B16197" w:rsidP="00235F1F">
            <w:pPr>
              <w:jc w:val="both"/>
              <w:rPr>
                <w:rFonts w:cstheme="minorHAnsi"/>
              </w:rPr>
            </w:pPr>
          </w:p>
          <w:p w:rsidR="00186915" w:rsidRPr="00B07903" w:rsidRDefault="00E63B20" w:rsidP="00235F1F">
            <w:pPr>
              <w:pStyle w:val="ListParagraph"/>
              <w:numPr>
                <w:ilvl w:val="0"/>
                <w:numId w:val="35"/>
              </w:numPr>
              <w:jc w:val="both"/>
              <w:rPr>
                <w:rFonts w:cstheme="minorHAnsi"/>
              </w:rPr>
            </w:pPr>
            <w:r w:rsidRPr="000E6551">
              <w:rPr>
                <w:rFonts w:cstheme="minorHAnsi"/>
              </w:rPr>
              <w:t xml:space="preserve">Infrastructure </w:t>
            </w:r>
            <w:r w:rsidRPr="00B07903">
              <w:rPr>
                <w:rFonts w:cstheme="minorHAnsi"/>
              </w:rPr>
              <w:t>related direct FTE construction</w:t>
            </w:r>
            <w:r w:rsidR="002A49C6" w:rsidRPr="00B07903">
              <w:rPr>
                <w:rFonts w:cstheme="minorHAnsi"/>
              </w:rPr>
              <w:t xml:space="preserve"> </w:t>
            </w:r>
            <w:r w:rsidR="00671B19">
              <w:rPr>
                <w:rFonts w:cstheme="minorHAnsi"/>
              </w:rPr>
              <w:t xml:space="preserve">NPV </w:t>
            </w:r>
            <w:r w:rsidR="002A49C6" w:rsidRPr="00B07903">
              <w:rPr>
                <w:rFonts w:cstheme="minorHAnsi"/>
              </w:rPr>
              <w:t>GVA</w:t>
            </w:r>
            <w:r w:rsidR="00B07903" w:rsidRPr="00B07903">
              <w:rPr>
                <w:rFonts w:cstheme="minorHAnsi"/>
              </w:rPr>
              <w:t xml:space="preserve"> </w:t>
            </w:r>
            <w:r w:rsidRPr="00B07903">
              <w:rPr>
                <w:rFonts w:cstheme="minorHAnsi"/>
              </w:rPr>
              <w:t xml:space="preserve">- </w:t>
            </w:r>
            <w:r w:rsidR="00671B19">
              <w:rPr>
                <w:rFonts w:cstheme="minorHAnsi"/>
              </w:rPr>
              <w:t>£7.5</w:t>
            </w:r>
            <w:r w:rsidR="000E6551" w:rsidRPr="00B07903">
              <w:rPr>
                <w:rFonts w:cstheme="minorHAnsi"/>
              </w:rPr>
              <w:t>m (</w:t>
            </w:r>
            <w:r w:rsidR="00235F1F" w:rsidRPr="00B07903">
              <w:rPr>
                <w:rFonts w:cstheme="minorHAnsi"/>
              </w:rPr>
              <w:t xml:space="preserve">assumed </w:t>
            </w:r>
            <w:r w:rsidR="000E6551" w:rsidRPr="00B07903">
              <w:rPr>
                <w:rFonts w:cstheme="minorHAnsi"/>
              </w:rPr>
              <w:t xml:space="preserve">over 1 year </w:t>
            </w:r>
            <w:r w:rsidR="000E6551" w:rsidRPr="00B07903">
              <w:rPr>
                <w:rFonts w:cstheme="minorHAnsi"/>
              </w:rPr>
              <w:lastRenderedPageBreak/>
              <w:t>period only)</w:t>
            </w:r>
          </w:p>
          <w:p w:rsidR="00E63B20" w:rsidRPr="00B07903" w:rsidRDefault="00E63B20" w:rsidP="00235F1F">
            <w:pPr>
              <w:pStyle w:val="ListParagraph"/>
              <w:numPr>
                <w:ilvl w:val="0"/>
                <w:numId w:val="35"/>
              </w:numPr>
              <w:jc w:val="both"/>
              <w:rPr>
                <w:rFonts w:cstheme="minorHAnsi"/>
              </w:rPr>
            </w:pPr>
            <w:r w:rsidRPr="00B07903">
              <w:rPr>
                <w:rFonts w:cstheme="minorHAnsi"/>
              </w:rPr>
              <w:t>Commercial development related indirect FTE con</w:t>
            </w:r>
            <w:r w:rsidR="002A49C6" w:rsidRPr="00B07903">
              <w:rPr>
                <w:rFonts w:cstheme="minorHAnsi"/>
              </w:rPr>
              <w:t xml:space="preserve">struction </w:t>
            </w:r>
            <w:r w:rsidR="00671B19">
              <w:rPr>
                <w:rFonts w:cstheme="minorHAnsi"/>
              </w:rPr>
              <w:t xml:space="preserve">NPV </w:t>
            </w:r>
            <w:r w:rsidR="002A49C6" w:rsidRPr="00B07903">
              <w:rPr>
                <w:rFonts w:cstheme="minorHAnsi"/>
              </w:rPr>
              <w:t>GVA</w:t>
            </w:r>
            <w:r w:rsidRPr="00B07903">
              <w:rPr>
                <w:rFonts w:cstheme="minorHAnsi"/>
              </w:rPr>
              <w:t xml:space="preserve"> - </w:t>
            </w:r>
            <w:r w:rsidR="00B07903" w:rsidRPr="00B07903">
              <w:rPr>
                <w:rFonts w:cstheme="minorHAnsi"/>
              </w:rPr>
              <w:t>£</w:t>
            </w:r>
            <w:r w:rsidR="00671B19">
              <w:rPr>
                <w:rFonts w:cstheme="minorHAnsi"/>
              </w:rPr>
              <w:t>21</w:t>
            </w:r>
            <w:r w:rsidR="00B07903" w:rsidRPr="00B07903">
              <w:rPr>
                <w:rFonts w:cstheme="minorHAnsi"/>
              </w:rPr>
              <w:t>m (assumed over a 4 year build period)</w:t>
            </w:r>
          </w:p>
          <w:p w:rsidR="00E63B20" w:rsidRPr="00E63B20" w:rsidRDefault="00E63B20" w:rsidP="00E63B20">
            <w:pPr>
              <w:pStyle w:val="ListParagraph"/>
              <w:ind w:left="393"/>
              <w:rPr>
                <w:rFonts w:cstheme="minorHAnsi"/>
                <w:b/>
              </w:rPr>
            </w:pPr>
          </w:p>
          <w:p w:rsidR="00186915" w:rsidRDefault="00186915" w:rsidP="00E90CC1">
            <w:pPr>
              <w:rPr>
                <w:rFonts w:cstheme="minorHAnsi"/>
                <w:b/>
              </w:rPr>
            </w:pPr>
          </w:p>
          <w:p w:rsidR="00EC1C0C" w:rsidRDefault="00EC1C0C" w:rsidP="00EC1C0C">
            <w:pPr>
              <w:ind w:left="33" w:hanging="33"/>
              <w:rPr>
                <w:b/>
              </w:rPr>
            </w:pPr>
            <w:r>
              <w:rPr>
                <w:b/>
              </w:rPr>
              <w:t>Preferred Option – Leveraging other investment</w:t>
            </w:r>
          </w:p>
          <w:p w:rsidR="00EC1C0C" w:rsidRDefault="00EC1C0C" w:rsidP="00EC1C0C">
            <w:pPr>
              <w:ind w:left="33" w:hanging="33"/>
              <w:rPr>
                <w:b/>
              </w:rPr>
            </w:pPr>
          </w:p>
          <w:p w:rsidR="003A6822" w:rsidRDefault="00EC1C0C" w:rsidP="00EC1C0C">
            <w:pPr>
              <w:ind w:left="33" w:hanging="33"/>
            </w:pPr>
            <w:r w:rsidRPr="00E63B20">
              <w:t xml:space="preserve">The preferred option will </w:t>
            </w:r>
            <w:r w:rsidR="003A6822" w:rsidRPr="00E63B20">
              <w:t>lever significant levels of other public and private sector investment as below, which would not otherwise come forward:</w:t>
            </w:r>
          </w:p>
          <w:p w:rsidR="00E63B20" w:rsidRPr="00E63B20" w:rsidRDefault="00E63B20" w:rsidP="00EC1C0C">
            <w:pPr>
              <w:ind w:left="33" w:hanging="33"/>
            </w:pPr>
          </w:p>
          <w:p w:rsidR="00E63B20" w:rsidRPr="00B07903" w:rsidRDefault="00E63B20" w:rsidP="00E63B20">
            <w:pPr>
              <w:pStyle w:val="ListParagraph"/>
              <w:numPr>
                <w:ilvl w:val="0"/>
                <w:numId w:val="36"/>
              </w:numPr>
            </w:pPr>
            <w:r w:rsidRPr="00E63B20">
              <w:t xml:space="preserve">Southend on Sea </w:t>
            </w:r>
            <w:r w:rsidRPr="00B07903">
              <w:t xml:space="preserve">Borough Council - £5.6m plus £20m land value contribution. </w:t>
            </w:r>
          </w:p>
          <w:p w:rsidR="003A6822" w:rsidRPr="00B07903" w:rsidRDefault="003A6822" w:rsidP="00EC1C0C">
            <w:pPr>
              <w:ind w:left="33" w:hanging="33"/>
            </w:pPr>
          </w:p>
          <w:p w:rsidR="003A6822" w:rsidRPr="00B07903" w:rsidRDefault="003A6822" w:rsidP="00E63B20">
            <w:pPr>
              <w:pStyle w:val="ListParagraph"/>
              <w:numPr>
                <w:ilvl w:val="0"/>
                <w:numId w:val="36"/>
              </w:numPr>
            </w:pPr>
            <w:r w:rsidRPr="00B07903">
              <w:t>HBDL/other private sector - £</w:t>
            </w:r>
            <w:r w:rsidR="00B07903" w:rsidRPr="00B07903">
              <w:t>41</w:t>
            </w:r>
            <w:r w:rsidR="00E63B20" w:rsidRPr="00B07903">
              <w:t>m based on GDV of completed phase 1 scheme (as per HBDL development appraisal</w:t>
            </w:r>
            <w:r w:rsidR="00B07903" w:rsidRPr="00B07903">
              <w:t>)</w:t>
            </w:r>
          </w:p>
          <w:p w:rsidR="003A6822" w:rsidRPr="003A6822" w:rsidRDefault="003A6822" w:rsidP="00EC1C0C">
            <w:pPr>
              <w:ind w:left="33" w:hanging="33"/>
              <w:rPr>
                <w:highlight w:val="yellow"/>
              </w:rPr>
            </w:pPr>
          </w:p>
          <w:p w:rsidR="00186915" w:rsidRDefault="00186915" w:rsidP="00E90CC1">
            <w:pPr>
              <w:rPr>
                <w:rFonts w:cstheme="minorHAnsi"/>
                <w:b/>
              </w:rPr>
            </w:pPr>
          </w:p>
          <w:p w:rsidR="00186915" w:rsidRDefault="003A6822" w:rsidP="00E90CC1">
            <w:pPr>
              <w:rPr>
                <w:rFonts w:cstheme="minorHAnsi"/>
                <w:b/>
              </w:rPr>
            </w:pPr>
            <w:r>
              <w:rPr>
                <w:rFonts w:cstheme="minorHAnsi"/>
                <w:b/>
              </w:rPr>
              <w:t>Summary of quantifiable economic benefits</w:t>
            </w:r>
          </w:p>
          <w:p w:rsidR="00B07903" w:rsidRDefault="00B07903" w:rsidP="00E90CC1">
            <w:pPr>
              <w:rPr>
                <w:rFonts w:cstheme="minorHAnsi"/>
                <w:b/>
              </w:rPr>
            </w:pPr>
          </w:p>
          <w:p w:rsidR="00B07903" w:rsidRPr="00B07903" w:rsidRDefault="00B07903" w:rsidP="00E90CC1">
            <w:pPr>
              <w:rPr>
                <w:rFonts w:cstheme="minorHAnsi"/>
              </w:rPr>
            </w:pPr>
            <w:r w:rsidRPr="00B07903">
              <w:rPr>
                <w:rFonts w:cstheme="minorHAnsi"/>
              </w:rPr>
              <w:t>A summary of the above quantifiable economic benefits is presented below:</w:t>
            </w:r>
          </w:p>
          <w:p w:rsidR="00186915" w:rsidRDefault="00186915" w:rsidP="00E90CC1">
            <w:pPr>
              <w:rPr>
                <w:rFonts w:cstheme="minorHAnsi"/>
                <w:b/>
              </w:rPr>
            </w:pPr>
          </w:p>
          <w:p w:rsidR="00186915" w:rsidRDefault="00671B19" w:rsidP="00E90CC1">
            <w:pPr>
              <w:rPr>
                <w:rFonts w:cstheme="minorHAnsi"/>
              </w:rPr>
            </w:pPr>
            <w:r>
              <w:rPr>
                <w:noProof/>
              </w:rPr>
              <w:drawing>
                <wp:inline distT="0" distB="0" distL="0" distR="0">
                  <wp:extent cx="5093335" cy="2101378"/>
                  <wp:effectExtent l="19050" t="19050" r="12065" b="133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stretch>
                            <a:fillRect/>
                          </a:stretch>
                        </pic:blipFill>
                        <pic:spPr>
                          <a:xfrm>
                            <a:off x="0" y="0"/>
                            <a:ext cx="5101916" cy="2104918"/>
                          </a:xfrm>
                          <a:prstGeom prst="rect">
                            <a:avLst/>
                          </a:prstGeom>
                          <a:ln>
                            <a:solidFill>
                              <a:schemeClr val="tx1"/>
                            </a:solidFill>
                          </a:ln>
                        </pic:spPr>
                      </pic:pic>
                    </a:graphicData>
                  </a:graphic>
                </wp:inline>
              </w:drawing>
            </w:r>
          </w:p>
          <w:p w:rsidR="00E90CC1" w:rsidRDefault="00E90CC1" w:rsidP="006D5A61">
            <w:pPr>
              <w:ind w:left="33" w:hanging="33"/>
              <w:rPr>
                <w:b/>
              </w:rPr>
            </w:pPr>
          </w:p>
          <w:p w:rsidR="00E90CC1" w:rsidRPr="00F67EF1" w:rsidRDefault="00E90CC1" w:rsidP="006D5A61">
            <w:pPr>
              <w:ind w:left="33" w:hanging="33"/>
              <w:rPr>
                <w:b/>
              </w:rPr>
            </w:pPr>
          </w:p>
          <w:p w:rsidR="006D5A61" w:rsidRPr="006D5A61" w:rsidRDefault="006D5A61" w:rsidP="006D5A61">
            <w:pPr>
              <w:ind w:left="33" w:hanging="33"/>
              <w:rPr>
                <w:i/>
              </w:rPr>
            </w:pPr>
          </w:p>
        </w:tc>
      </w:tr>
      <w:tr w:rsidR="001F21AB" w:rsidTr="001F21AB">
        <w:tc>
          <w:tcPr>
            <w:tcW w:w="1839" w:type="dxa"/>
            <w:shd w:val="clear" w:color="auto" w:fill="4BACC6" w:themeFill="accent5"/>
          </w:tcPr>
          <w:p w:rsidR="001B576D" w:rsidRDefault="001B576D" w:rsidP="00B34F20">
            <w:pPr>
              <w:pStyle w:val="ListParagraph"/>
              <w:numPr>
                <w:ilvl w:val="1"/>
                <w:numId w:val="1"/>
              </w:numPr>
              <w:ind w:left="601" w:hanging="567"/>
              <w:rPr>
                <w:b/>
                <w:color w:val="FFFFFF" w:themeColor="background1"/>
              </w:rPr>
            </w:pPr>
            <w:r>
              <w:rPr>
                <w:b/>
                <w:color w:val="FFFFFF" w:themeColor="background1"/>
              </w:rPr>
              <w:lastRenderedPageBreak/>
              <w:t>Wider benefits</w:t>
            </w:r>
          </w:p>
        </w:tc>
        <w:tc>
          <w:tcPr>
            <w:tcW w:w="8509" w:type="dxa"/>
          </w:tcPr>
          <w:p w:rsidR="001B576D" w:rsidRDefault="001B576D" w:rsidP="006D5A61">
            <w:pPr>
              <w:ind w:left="33" w:hanging="33"/>
              <w:rPr>
                <w:i/>
              </w:rPr>
            </w:pPr>
            <w:r w:rsidRPr="002216BC">
              <w:rPr>
                <w:i/>
              </w:rPr>
              <w:t>Please describe below any wider economic benefits that the scheme will achieved that will help to contribute to the overall value for money of the scheme</w:t>
            </w:r>
            <w:r>
              <w:rPr>
                <w:i/>
              </w:rPr>
              <w:t>.</w:t>
            </w:r>
          </w:p>
          <w:p w:rsidR="00E90CC1" w:rsidRDefault="00E90CC1" w:rsidP="006D5A61">
            <w:pPr>
              <w:ind w:left="33" w:hanging="33"/>
              <w:rPr>
                <w:i/>
              </w:rPr>
            </w:pPr>
          </w:p>
          <w:p w:rsidR="00EC2D91" w:rsidRDefault="00EC2D91" w:rsidP="00247E11">
            <w:pPr>
              <w:pStyle w:val="ListParagraph"/>
              <w:numPr>
                <w:ilvl w:val="0"/>
                <w:numId w:val="29"/>
              </w:numPr>
              <w:jc w:val="both"/>
              <w:rPr>
                <w:rFonts w:ascii="Calibri" w:hAnsi="Calibri" w:cs="Calibri"/>
                <w:color w:val="000000"/>
              </w:rPr>
            </w:pPr>
            <w:r w:rsidRPr="003A6822">
              <w:rPr>
                <w:rFonts w:ascii="Calibri" w:hAnsi="Calibri" w:cs="Calibri"/>
                <w:b/>
                <w:bCs/>
                <w:color w:val="000000"/>
              </w:rPr>
              <w:t xml:space="preserve">Providing local employment opportunities – </w:t>
            </w:r>
            <w:r w:rsidRPr="003A6822">
              <w:rPr>
                <w:rFonts w:ascii="Calibri" w:hAnsi="Calibri" w:cs="Calibri"/>
                <w:color w:val="000000"/>
              </w:rPr>
              <w:t>the proposals will create a significant number of and range of employment opportunities</w:t>
            </w:r>
            <w:r>
              <w:rPr>
                <w:rFonts w:ascii="Calibri" w:hAnsi="Calibri" w:cs="Calibri"/>
                <w:color w:val="000000"/>
              </w:rPr>
              <w:t xml:space="preserve"> across various skill levels,</w:t>
            </w:r>
            <w:r w:rsidRPr="003A6822">
              <w:rPr>
                <w:rFonts w:ascii="Calibri" w:hAnsi="Calibri" w:cs="Calibri"/>
                <w:color w:val="000000"/>
              </w:rPr>
              <w:t xml:space="preserve"> to meet the demographic needs of the </w:t>
            </w:r>
            <w:r>
              <w:rPr>
                <w:rFonts w:ascii="Calibri" w:hAnsi="Calibri" w:cs="Calibri"/>
                <w:color w:val="000000"/>
              </w:rPr>
              <w:t xml:space="preserve">SELEP </w:t>
            </w:r>
            <w:r w:rsidRPr="003A6822">
              <w:rPr>
                <w:rFonts w:ascii="Calibri" w:hAnsi="Calibri" w:cs="Calibri"/>
                <w:color w:val="000000"/>
              </w:rPr>
              <w:t>economy. It is envisaged that a high proportion of the job</w:t>
            </w:r>
            <w:r>
              <w:rPr>
                <w:rFonts w:ascii="Calibri" w:hAnsi="Calibri" w:cs="Calibri"/>
                <w:color w:val="000000"/>
              </w:rPr>
              <w:t>s will be taken by local people.</w:t>
            </w:r>
          </w:p>
          <w:p w:rsidR="00EC2D91" w:rsidRPr="003A6822" w:rsidRDefault="00EC2D91" w:rsidP="00247E11">
            <w:pPr>
              <w:pStyle w:val="ListParagraph"/>
              <w:ind w:left="393"/>
              <w:jc w:val="both"/>
              <w:rPr>
                <w:rFonts w:ascii="Calibri" w:hAnsi="Calibri" w:cs="Calibri"/>
                <w:color w:val="000000"/>
              </w:rPr>
            </w:pPr>
          </w:p>
          <w:p w:rsidR="00E90CC1" w:rsidRPr="005F5E51" w:rsidRDefault="00EC2D91" w:rsidP="00247E11">
            <w:pPr>
              <w:pStyle w:val="ListParagraph"/>
              <w:numPr>
                <w:ilvl w:val="0"/>
                <w:numId w:val="29"/>
              </w:numPr>
              <w:jc w:val="both"/>
              <w:rPr>
                <w:b/>
              </w:rPr>
            </w:pPr>
            <w:r>
              <w:rPr>
                <w:b/>
              </w:rPr>
              <w:t>Delivering s</w:t>
            </w:r>
            <w:r w:rsidR="00E90CC1" w:rsidRPr="005F5E51">
              <w:rPr>
                <w:b/>
              </w:rPr>
              <w:t xml:space="preserve">kills </w:t>
            </w:r>
            <w:r w:rsidR="005C6EEB" w:rsidRPr="005F5E51">
              <w:rPr>
                <w:b/>
              </w:rPr>
              <w:t xml:space="preserve">and training </w:t>
            </w:r>
            <w:r w:rsidR="00E90CC1" w:rsidRPr="005F5E51">
              <w:rPr>
                <w:b/>
              </w:rPr>
              <w:t>development</w:t>
            </w:r>
            <w:r w:rsidR="005C6EEB" w:rsidRPr="005F5E51">
              <w:rPr>
                <w:b/>
              </w:rPr>
              <w:t xml:space="preserve"> opportunities</w:t>
            </w:r>
            <w:r w:rsidR="005F5E51">
              <w:rPr>
                <w:b/>
              </w:rPr>
              <w:t xml:space="preserve"> </w:t>
            </w:r>
            <w:r>
              <w:rPr>
                <w:b/>
              </w:rPr>
              <w:t>–</w:t>
            </w:r>
            <w:r w:rsidR="005F5E51">
              <w:rPr>
                <w:b/>
              </w:rPr>
              <w:t xml:space="preserve"> </w:t>
            </w:r>
            <w:r w:rsidRPr="00EC2D91">
              <w:t>the phase 1 site will attract new high value knowledge-based businesses in the B1 floorspace. These will provide formal skills and training opportunities for employees, which will be of significant benefit to the local economy.</w:t>
            </w:r>
            <w:r>
              <w:rPr>
                <w:b/>
              </w:rPr>
              <w:t xml:space="preserve"> </w:t>
            </w:r>
          </w:p>
          <w:p w:rsidR="00E90CC1" w:rsidRPr="005F5E51" w:rsidRDefault="00E90CC1" w:rsidP="00247E11">
            <w:pPr>
              <w:ind w:left="33" w:hanging="33"/>
              <w:jc w:val="both"/>
              <w:rPr>
                <w:b/>
              </w:rPr>
            </w:pPr>
          </w:p>
          <w:p w:rsidR="00E90CC1" w:rsidRPr="005F5E51" w:rsidRDefault="00E90CC1" w:rsidP="00247E11">
            <w:pPr>
              <w:pStyle w:val="ListParagraph"/>
              <w:numPr>
                <w:ilvl w:val="0"/>
                <w:numId w:val="29"/>
              </w:numPr>
              <w:jc w:val="both"/>
              <w:rPr>
                <w:b/>
              </w:rPr>
            </w:pPr>
            <w:r w:rsidRPr="005F5E51">
              <w:rPr>
                <w:b/>
              </w:rPr>
              <w:t>Supporting key growth sectors</w:t>
            </w:r>
            <w:r w:rsidR="00EC2D91">
              <w:rPr>
                <w:b/>
              </w:rPr>
              <w:t xml:space="preserve"> – </w:t>
            </w:r>
            <w:r w:rsidR="00EC2D91" w:rsidRPr="00EC2D91">
              <w:t xml:space="preserve">the phase 1 scheme is focused on the provision of high value office-based floorspace in a high quality business park environment. This will be likely to be attractive to businesses in key identified growth sectors for the SELEP economy such as life sciences, for example. The Council’s ambition is to deliver a MedTech Innovation Centre as part of the wider site development (facility specification development is underway) and this will further support the rapidly growing life science </w:t>
            </w:r>
            <w:r w:rsidR="00EC2D91" w:rsidRPr="00EC2D91">
              <w:lastRenderedPageBreak/>
              <w:t>sector, a key national and LEP priority.</w:t>
            </w:r>
            <w:r w:rsidR="00EC2D91">
              <w:rPr>
                <w:b/>
              </w:rPr>
              <w:t xml:space="preserve"> </w:t>
            </w:r>
            <w:r w:rsidR="00EC2D91" w:rsidRPr="00EC2D91">
              <w:t xml:space="preserve">The </w:t>
            </w:r>
            <w:r w:rsidR="00EC2D91">
              <w:t xml:space="preserve">proposed </w:t>
            </w:r>
            <w:r w:rsidR="00EC2D91" w:rsidRPr="00EC2D91">
              <w:t>phase 1 business space will also appeal to a range of other high value business activities across a number of growth sectors.</w:t>
            </w:r>
            <w:r w:rsidR="00EC2D91">
              <w:rPr>
                <w:b/>
              </w:rPr>
              <w:t xml:space="preserve"> </w:t>
            </w:r>
          </w:p>
          <w:p w:rsidR="00E90CC1" w:rsidRPr="005F5E51" w:rsidRDefault="00E90CC1" w:rsidP="00247E11">
            <w:pPr>
              <w:ind w:left="33" w:hanging="33"/>
              <w:jc w:val="both"/>
              <w:rPr>
                <w:b/>
              </w:rPr>
            </w:pPr>
          </w:p>
          <w:p w:rsidR="00E90CC1" w:rsidRPr="005F5E51" w:rsidRDefault="00E90CC1" w:rsidP="00247E11">
            <w:pPr>
              <w:pStyle w:val="ListParagraph"/>
              <w:numPr>
                <w:ilvl w:val="0"/>
                <w:numId w:val="29"/>
              </w:numPr>
              <w:jc w:val="both"/>
              <w:rPr>
                <w:b/>
              </w:rPr>
            </w:pPr>
            <w:r w:rsidRPr="005F5E51">
              <w:rPr>
                <w:b/>
              </w:rPr>
              <w:t>Supporting the growth and competitiveness of the Airport</w:t>
            </w:r>
            <w:r w:rsidR="00EC2D91">
              <w:rPr>
                <w:b/>
              </w:rPr>
              <w:t xml:space="preserve"> – </w:t>
            </w:r>
            <w:r w:rsidR="00EC2D91" w:rsidRPr="00E63B20">
              <w:t xml:space="preserve">the Council and the Stobart </w:t>
            </w:r>
            <w:r w:rsidR="00E63B20">
              <w:t xml:space="preserve">are committed to promoting the growth of the airport and the provision of an Airport Business Park in close proximity to the airport operations will undoubtedly </w:t>
            </w:r>
            <w:r w:rsidR="00247E11">
              <w:t xml:space="preserve">assist to maximise the economic potential and competitiveness of the airport as a key sub-regional economic asset. Other regional airports either already have or are planning to deliver airport business parks and London Southend Airport needs this in order to be competitive. </w:t>
            </w:r>
          </w:p>
          <w:p w:rsidR="005C6EEB" w:rsidRPr="005F5E51" w:rsidRDefault="005C6EEB" w:rsidP="00247E11">
            <w:pPr>
              <w:ind w:left="33" w:hanging="33"/>
              <w:jc w:val="both"/>
              <w:rPr>
                <w:b/>
              </w:rPr>
            </w:pPr>
          </w:p>
          <w:p w:rsidR="005C6EEB" w:rsidRPr="00247E11" w:rsidRDefault="005C6EEB" w:rsidP="00247E11">
            <w:pPr>
              <w:pStyle w:val="ListParagraph"/>
              <w:numPr>
                <w:ilvl w:val="0"/>
                <w:numId w:val="29"/>
              </w:numPr>
              <w:jc w:val="both"/>
            </w:pPr>
            <w:r w:rsidRPr="005F5E51">
              <w:rPr>
                <w:b/>
              </w:rPr>
              <w:t>Addressing the lack of available employment land and attracting inward investment</w:t>
            </w:r>
            <w:r w:rsidR="00247E11">
              <w:rPr>
                <w:b/>
              </w:rPr>
              <w:t xml:space="preserve"> </w:t>
            </w:r>
            <w:r w:rsidR="00247E11" w:rsidRPr="00247E11">
              <w:t xml:space="preserve">– there is a recognised lack of available/suitable employment land/premises in the local area as evidenced through the most recent Employment Land Review (2014). As well as providing land/premises for aviation/MRO related occupiers, the ABP will also address the more general lack of land/premises to promote wider economic growth, business and inward investment. </w:t>
            </w:r>
          </w:p>
          <w:p w:rsidR="00041887" w:rsidRPr="005F5E51" w:rsidRDefault="00041887" w:rsidP="00247E11">
            <w:pPr>
              <w:ind w:left="33" w:hanging="33"/>
              <w:jc w:val="both"/>
              <w:rPr>
                <w:b/>
              </w:rPr>
            </w:pPr>
          </w:p>
          <w:p w:rsidR="00247E11" w:rsidRPr="00247E11" w:rsidRDefault="00041887" w:rsidP="00247E11">
            <w:pPr>
              <w:pStyle w:val="ListParagraph"/>
              <w:numPr>
                <w:ilvl w:val="0"/>
                <w:numId w:val="29"/>
              </w:numPr>
              <w:jc w:val="both"/>
              <w:rPr>
                <w:rFonts w:ascii="Calibri" w:hAnsi="Calibri" w:cs="Calibri"/>
                <w:color w:val="000000"/>
              </w:rPr>
            </w:pPr>
            <w:r w:rsidRPr="005F5E51">
              <w:rPr>
                <w:b/>
              </w:rPr>
              <w:t>Unlocking access to the former Brickworks site to the north</w:t>
            </w:r>
            <w:r w:rsidR="00247E11">
              <w:rPr>
                <w:b/>
              </w:rPr>
              <w:t xml:space="preserve"> of the site – </w:t>
            </w:r>
            <w:r w:rsidR="00247E11" w:rsidRPr="00247E11">
              <w:t>as part of the site road infrastructure, it is proposed to include a spine road to the north of the site to provide an access point to unlock an adjacent brownfield site, in 3</w:t>
            </w:r>
            <w:r w:rsidR="00247E11" w:rsidRPr="00247E11">
              <w:rPr>
                <w:vertAlign w:val="superscript"/>
              </w:rPr>
              <w:t>rd</w:t>
            </w:r>
            <w:r w:rsidR="00247E11" w:rsidRPr="00247E11">
              <w:t xml:space="preserve"> party ownership, for redevelopment for employment uses. </w:t>
            </w:r>
          </w:p>
          <w:p w:rsidR="00247E11" w:rsidRPr="00247E11" w:rsidRDefault="00247E11" w:rsidP="00247E11">
            <w:pPr>
              <w:pStyle w:val="ListParagraph"/>
              <w:jc w:val="both"/>
              <w:rPr>
                <w:rFonts w:ascii="Calibri" w:hAnsi="Calibri" w:cs="Calibri"/>
                <w:b/>
                <w:bCs/>
                <w:color w:val="000000"/>
              </w:rPr>
            </w:pPr>
          </w:p>
          <w:p w:rsidR="00247E11" w:rsidRPr="003A6822" w:rsidRDefault="00247E11" w:rsidP="00247E11">
            <w:pPr>
              <w:pStyle w:val="ListParagraph"/>
              <w:numPr>
                <w:ilvl w:val="0"/>
                <w:numId w:val="29"/>
              </w:numPr>
              <w:jc w:val="both"/>
              <w:rPr>
                <w:rFonts w:ascii="Calibri" w:hAnsi="Calibri" w:cs="Calibri"/>
                <w:color w:val="000000"/>
              </w:rPr>
            </w:pPr>
            <w:r w:rsidRPr="003A6822">
              <w:rPr>
                <w:rFonts w:ascii="Calibri" w:hAnsi="Calibri" w:cs="Calibri"/>
                <w:b/>
                <w:bCs/>
                <w:color w:val="000000"/>
              </w:rPr>
              <w:t xml:space="preserve">Driving </w:t>
            </w:r>
            <w:r>
              <w:rPr>
                <w:rFonts w:ascii="Calibri" w:hAnsi="Calibri" w:cs="Calibri"/>
                <w:b/>
                <w:bCs/>
                <w:color w:val="000000"/>
              </w:rPr>
              <w:t>SELEP economic</w:t>
            </w:r>
            <w:r w:rsidRPr="003A6822">
              <w:rPr>
                <w:rFonts w:ascii="Calibri" w:hAnsi="Calibri" w:cs="Calibri"/>
                <w:b/>
                <w:bCs/>
                <w:color w:val="000000"/>
              </w:rPr>
              <w:t xml:space="preserve"> competitiveness – </w:t>
            </w:r>
            <w:r w:rsidRPr="003A6822">
              <w:rPr>
                <w:rFonts w:ascii="Calibri" w:hAnsi="Calibri" w:cs="Calibri"/>
                <w:color w:val="000000"/>
              </w:rPr>
              <w:t xml:space="preserve">the proposals have the potential to attract significant inward investment and to enhance the overall offer of the </w:t>
            </w:r>
            <w:r>
              <w:rPr>
                <w:rFonts w:ascii="Calibri" w:hAnsi="Calibri" w:cs="Calibri"/>
                <w:color w:val="000000"/>
              </w:rPr>
              <w:t xml:space="preserve">SELEP </w:t>
            </w:r>
            <w:r w:rsidRPr="003A6822">
              <w:rPr>
                <w:rFonts w:ascii="Calibri" w:hAnsi="Calibri" w:cs="Calibri"/>
                <w:color w:val="000000"/>
              </w:rPr>
              <w:t xml:space="preserve">economy as a business destination to ensure that it can compete with </w:t>
            </w:r>
            <w:r>
              <w:rPr>
                <w:rFonts w:ascii="Calibri" w:hAnsi="Calibri" w:cs="Calibri"/>
                <w:color w:val="000000"/>
              </w:rPr>
              <w:t xml:space="preserve">other locations. </w:t>
            </w:r>
          </w:p>
          <w:p w:rsidR="00041887" w:rsidRPr="005F5E51" w:rsidRDefault="00041887" w:rsidP="00247E11">
            <w:pPr>
              <w:ind w:left="33" w:hanging="33"/>
              <w:jc w:val="both"/>
              <w:rPr>
                <w:b/>
              </w:rPr>
            </w:pPr>
          </w:p>
          <w:p w:rsidR="00041887" w:rsidRPr="00247E11" w:rsidRDefault="00041887" w:rsidP="00247E11">
            <w:pPr>
              <w:pStyle w:val="ListParagraph"/>
              <w:numPr>
                <w:ilvl w:val="0"/>
                <w:numId w:val="29"/>
              </w:numPr>
              <w:jc w:val="both"/>
            </w:pPr>
            <w:r w:rsidRPr="005F5E51">
              <w:rPr>
                <w:b/>
              </w:rPr>
              <w:t>Delivering a bespoke new rugby club facility</w:t>
            </w:r>
            <w:r w:rsidR="00247E11">
              <w:rPr>
                <w:b/>
              </w:rPr>
              <w:t xml:space="preserve"> – </w:t>
            </w:r>
            <w:r w:rsidR="00247E11" w:rsidRPr="00247E11">
              <w:t xml:space="preserve">the proposals will directly provide a relocated rugby club in accordance with Sport England/RFU standards. This will provide a new high quality recreational facility which could increase player participation, recruitment and the profile of the local area more generally. </w:t>
            </w:r>
          </w:p>
          <w:p w:rsidR="002D4397" w:rsidRDefault="002D4397" w:rsidP="006D5A61">
            <w:pPr>
              <w:ind w:left="33" w:hanging="33"/>
              <w:rPr>
                <w:i/>
              </w:rPr>
            </w:pPr>
          </w:p>
          <w:p w:rsidR="003B57EE" w:rsidRDefault="003B57EE" w:rsidP="006D5A61">
            <w:pPr>
              <w:ind w:left="33" w:hanging="33"/>
              <w:rPr>
                <w:i/>
              </w:rPr>
            </w:pPr>
          </w:p>
          <w:p w:rsidR="003B57EE" w:rsidRDefault="003B57EE" w:rsidP="006D5A61">
            <w:pPr>
              <w:ind w:left="33" w:hanging="33"/>
              <w:rPr>
                <w:i/>
              </w:rPr>
            </w:pPr>
          </w:p>
        </w:tc>
      </w:tr>
      <w:tr w:rsidR="001F21AB" w:rsidTr="001F21AB">
        <w:tc>
          <w:tcPr>
            <w:tcW w:w="1839" w:type="dxa"/>
            <w:shd w:val="clear" w:color="auto" w:fill="4BACC6" w:themeFill="accent5"/>
          </w:tcPr>
          <w:p w:rsidR="006279EC" w:rsidRDefault="006279EC" w:rsidP="00B34F20">
            <w:pPr>
              <w:pStyle w:val="ListParagraph"/>
              <w:numPr>
                <w:ilvl w:val="1"/>
                <w:numId w:val="1"/>
              </w:numPr>
              <w:ind w:left="601" w:hanging="567"/>
              <w:rPr>
                <w:b/>
                <w:color w:val="FFFFFF" w:themeColor="background1"/>
              </w:rPr>
            </w:pPr>
            <w:r>
              <w:rPr>
                <w:b/>
                <w:color w:val="FFFFFF" w:themeColor="background1"/>
              </w:rPr>
              <w:lastRenderedPageBreak/>
              <w:t>Standards</w:t>
            </w:r>
          </w:p>
        </w:tc>
        <w:tc>
          <w:tcPr>
            <w:tcW w:w="8509" w:type="dxa"/>
          </w:tcPr>
          <w:p w:rsidR="006279EC" w:rsidRDefault="006279EC" w:rsidP="006D5A61">
            <w:pPr>
              <w:ind w:left="33" w:hanging="33"/>
              <w:rPr>
                <w:i/>
              </w:rPr>
            </w:pPr>
            <w:r>
              <w:rPr>
                <w:i/>
              </w:rPr>
              <w:t>Provide details of anticipated standards (such as BREEAM) that the project will achieve.</w:t>
            </w:r>
          </w:p>
          <w:p w:rsidR="00E90CC1" w:rsidRDefault="00E90CC1" w:rsidP="006D5A61">
            <w:pPr>
              <w:ind w:left="33" w:hanging="33"/>
              <w:rPr>
                <w:i/>
              </w:rPr>
            </w:pPr>
          </w:p>
          <w:p w:rsidR="003B57EE" w:rsidRDefault="003A6822" w:rsidP="00247E11">
            <w:pPr>
              <w:jc w:val="both"/>
            </w:pPr>
            <w:r>
              <w:t xml:space="preserve">The infrastructure works will be procured through the Council’s existing contractor framework. This sets out a requirement to ensure that appointed contractors deliver works to required </w:t>
            </w:r>
            <w:r w:rsidR="001665BC">
              <w:t xml:space="preserve">Council standards. All highway infrastructure will be adopted by the Council and will need to be delivered to these standards. </w:t>
            </w:r>
          </w:p>
          <w:p w:rsidR="001665BC" w:rsidRDefault="001665BC" w:rsidP="00247E11">
            <w:pPr>
              <w:jc w:val="both"/>
            </w:pPr>
          </w:p>
          <w:p w:rsidR="00A87778" w:rsidRDefault="001665BC" w:rsidP="00247E11">
            <w:pPr>
              <w:autoSpaceDE w:val="0"/>
              <w:autoSpaceDN w:val="0"/>
              <w:adjustRightInd w:val="0"/>
              <w:jc w:val="both"/>
              <w:rPr>
                <w:rFonts w:ascii="FSAlbert" w:hAnsi="FSAlbert" w:cs="FSAlbert"/>
                <w:sz w:val="24"/>
                <w:szCs w:val="24"/>
              </w:rPr>
            </w:pPr>
            <w:r>
              <w:t xml:space="preserve">Commercial </w:t>
            </w:r>
            <w:r w:rsidRPr="00A87778">
              <w:t xml:space="preserve">development that is delivered as a result of the phase 1 infrastructure scheme will be delivered by HBDL as part of its DA with the Council. </w:t>
            </w:r>
            <w:r w:rsidR="00A87778" w:rsidRPr="00A87778">
              <w:rPr>
                <w:rFonts w:cs="FSAlbert"/>
              </w:rPr>
              <w:t>BREEAM Very Good will be the minimum standard for buildings although BREEAM Excellent will initially be targeted for all developments.</w:t>
            </w:r>
            <w:r w:rsidR="00A87778" w:rsidRPr="00A87778">
              <w:rPr>
                <w:rFonts w:ascii="FSAlbert" w:hAnsi="FSAlbert" w:cs="FSAlbert"/>
                <w:sz w:val="26"/>
                <w:szCs w:val="24"/>
              </w:rPr>
              <w:t xml:space="preserve"> </w:t>
            </w:r>
          </w:p>
          <w:p w:rsidR="003B57EE" w:rsidRPr="002216BC" w:rsidRDefault="003B57EE" w:rsidP="00A87778">
            <w:pPr>
              <w:rPr>
                <w:i/>
              </w:rPr>
            </w:pPr>
          </w:p>
        </w:tc>
      </w:tr>
      <w:tr w:rsidR="001F21AB" w:rsidTr="001F21AB">
        <w:tc>
          <w:tcPr>
            <w:tcW w:w="1839" w:type="dxa"/>
            <w:tcBorders>
              <w:bottom w:val="single" w:sz="4" w:space="0" w:color="auto"/>
            </w:tcBorders>
            <w:shd w:val="clear" w:color="auto" w:fill="4BACC6" w:themeFill="accent5"/>
          </w:tcPr>
          <w:p w:rsidR="00FA5D2A" w:rsidRPr="00685C6D" w:rsidRDefault="00FA5D2A" w:rsidP="00B34F20">
            <w:pPr>
              <w:pStyle w:val="ListParagraph"/>
              <w:numPr>
                <w:ilvl w:val="1"/>
                <w:numId w:val="1"/>
              </w:numPr>
              <w:ind w:left="601" w:hanging="567"/>
              <w:rPr>
                <w:b/>
                <w:color w:val="FFFFFF" w:themeColor="background1"/>
              </w:rPr>
            </w:pPr>
            <w:r w:rsidRPr="00685C6D">
              <w:rPr>
                <w:b/>
                <w:color w:val="FFFFFF" w:themeColor="background1"/>
              </w:rPr>
              <w:t>Value for money assessment</w:t>
            </w:r>
          </w:p>
        </w:tc>
        <w:tc>
          <w:tcPr>
            <w:tcW w:w="8509" w:type="dxa"/>
          </w:tcPr>
          <w:p w:rsidR="00E90CC1" w:rsidRPr="004D32E0" w:rsidRDefault="00E90CC1" w:rsidP="004D32E0">
            <w:pPr>
              <w:jc w:val="both"/>
            </w:pPr>
            <w:r w:rsidRPr="004D32E0">
              <w:t>Value for Money Assessment</w:t>
            </w:r>
          </w:p>
          <w:p w:rsidR="00247E11" w:rsidRPr="004D32E0" w:rsidRDefault="00247E11" w:rsidP="004D32E0">
            <w:pPr>
              <w:jc w:val="both"/>
            </w:pPr>
          </w:p>
          <w:p w:rsidR="000C28A0" w:rsidRPr="004D32E0" w:rsidRDefault="000C28A0" w:rsidP="004D32E0">
            <w:pPr>
              <w:jc w:val="both"/>
            </w:pPr>
            <w:r w:rsidRPr="004D32E0">
              <w:t>A summary of the value for money of the preferred option is presented below:</w:t>
            </w:r>
          </w:p>
          <w:p w:rsidR="000C28A0" w:rsidRPr="004D32E0" w:rsidRDefault="000C28A0" w:rsidP="004D32E0">
            <w:pPr>
              <w:jc w:val="both"/>
            </w:pPr>
          </w:p>
          <w:p w:rsidR="000C28A0" w:rsidRPr="004D32E0" w:rsidRDefault="001F21AB" w:rsidP="004D32E0">
            <w:pPr>
              <w:jc w:val="both"/>
            </w:pPr>
            <w:r>
              <w:rPr>
                <w:noProof/>
              </w:rPr>
              <w:drawing>
                <wp:inline distT="0" distB="0" distL="0" distR="0">
                  <wp:extent cx="5121910" cy="648925"/>
                  <wp:effectExtent l="19050" t="19050" r="21590" b="1841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5181785" cy="656511"/>
                          </a:xfrm>
                          <a:prstGeom prst="rect">
                            <a:avLst/>
                          </a:prstGeom>
                          <a:ln>
                            <a:solidFill>
                              <a:schemeClr val="tx1"/>
                            </a:solidFill>
                          </a:ln>
                        </pic:spPr>
                      </pic:pic>
                    </a:graphicData>
                  </a:graphic>
                </wp:inline>
              </w:drawing>
            </w:r>
          </w:p>
          <w:p w:rsidR="00247E11" w:rsidRPr="004D32E0" w:rsidRDefault="00247E11" w:rsidP="004D32E0">
            <w:pPr>
              <w:jc w:val="both"/>
            </w:pPr>
          </w:p>
          <w:p w:rsidR="00247E11" w:rsidRPr="004D32E0" w:rsidRDefault="004D32E0" w:rsidP="004D32E0">
            <w:pPr>
              <w:jc w:val="both"/>
            </w:pPr>
            <w:r w:rsidRPr="004D32E0">
              <w:t>This illustrates that the phase 1 scheme represents excellent value for money on the basis that the headli</w:t>
            </w:r>
            <w:r w:rsidR="001F21AB">
              <w:t>ne cost per job figure is £4,3</w:t>
            </w:r>
            <w:r w:rsidR="00957A66">
              <w:t>00</w:t>
            </w:r>
            <w:r w:rsidRPr="004D32E0">
              <w:t xml:space="preserve"> of LGF per net additional job. The total public sector cost per net additional job is only £11,</w:t>
            </w:r>
            <w:r w:rsidR="001F21AB">
              <w:t>8</w:t>
            </w:r>
            <w:r w:rsidR="00957A66">
              <w:t xml:space="preserve">00. </w:t>
            </w:r>
            <w:r w:rsidRPr="004D32E0">
              <w:t xml:space="preserve">These exclude construction job impacts. </w:t>
            </w:r>
          </w:p>
          <w:p w:rsidR="004D32E0" w:rsidRPr="004D32E0" w:rsidRDefault="004D32E0" w:rsidP="004D32E0">
            <w:pPr>
              <w:jc w:val="both"/>
            </w:pPr>
          </w:p>
          <w:p w:rsidR="004D32E0" w:rsidRDefault="004D32E0" w:rsidP="004D32E0">
            <w:pPr>
              <w:jc w:val="both"/>
            </w:pPr>
            <w:r w:rsidRPr="004D32E0">
              <w:t xml:space="preserve">Based </w:t>
            </w:r>
            <w:r w:rsidR="001F21AB">
              <w:t>on the potential to deliver £372</w:t>
            </w:r>
            <w:r w:rsidRPr="004D32E0">
              <w:t xml:space="preserve">m of net additional discounted </w:t>
            </w:r>
            <w:r w:rsidR="00311C69">
              <w:t>Gross Value Added (</w:t>
            </w:r>
            <w:r w:rsidRPr="004D32E0">
              <w:t>GVA</w:t>
            </w:r>
            <w:r w:rsidR="00311C69">
              <w:t>)</w:t>
            </w:r>
            <w:r w:rsidRPr="004D32E0">
              <w:t xml:space="preserve"> once the phase 1 scheme is completed and occupied (modelled over a 10 year period, assuming the market tested take-up rates), this equates to a B</w:t>
            </w:r>
            <w:r w:rsidR="00311C69">
              <w:t>enefit Cost Ratio (BCR)</w:t>
            </w:r>
            <w:r w:rsidR="001F21AB">
              <w:t xml:space="preserve"> of 116</w:t>
            </w:r>
            <w:r w:rsidRPr="004D32E0">
              <w:t xml:space="preserve">:1 based on the LGF cost and 42:1 based on total public sector costs (note that costs have not been discounted as all infrastructure spend is in year 0). Even accounting for the direct construction related GVA associated with the implementation of the infrastructure scheme </w:t>
            </w:r>
            <w:r w:rsidR="001F21AB">
              <w:t>only, this produces a BCR of 2.4</w:t>
            </w:r>
            <w:r w:rsidRPr="004D32E0">
              <w:t xml:space="preserve">:1 based on the LGF cost of £3.2m, which is still within acceptable value for money parameters. </w:t>
            </w:r>
          </w:p>
          <w:p w:rsidR="00623781" w:rsidRDefault="00623781" w:rsidP="004D32E0">
            <w:pPr>
              <w:jc w:val="both"/>
            </w:pPr>
          </w:p>
          <w:p w:rsidR="00623781" w:rsidRPr="002A647B" w:rsidRDefault="00311C69" w:rsidP="00623781">
            <w:pPr>
              <w:jc w:val="both"/>
              <w:rPr>
                <w:rFonts w:ascii="Calibri" w:hAnsi="Calibri"/>
                <w:bCs/>
              </w:rPr>
            </w:pPr>
            <w:r>
              <w:rPr>
                <w:rFonts w:ascii="Calibri" w:hAnsi="Calibri"/>
              </w:rPr>
              <w:t xml:space="preserve">The recent HCA Best Practice Note entitled ‘Calculating Cost per Job’ (2015) identifies a mid-point gross public sector cost per net additional job of £39,000. </w:t>
            </w:r>
            <w:r w:rsidR="00623781" w:rsidRPr="002A647B">
              <w:rPr>
                <w:rFonts w:ascii="Calibri" w:hAnsi="Calibri"/>
              </w:rPr>
              <w:t>A DCLG report entitled ‘Valuing the benefits of regeneration (</w:t>
            </w:r>
            <w:r w:rsidR="00623781" w:rsidRPr="002A647B">
              <w:rPr>
                <w:rFonts w:ascii="Calibri" w:hAnsi="Calibri"/>
                <w:bCs/>
              </w:rPr>
              <w:t>Economics paper 7: Volume I - Final Report, 2010) identified the</w:t>
            </w:r>
            <w:r w:rsidR="00623781" w:rsidRPr="002A647B">
              <w:rPr>
                <w:rFonts w:ascii="Calibri" w:hAnsi="Calibri"/>
              </w:rPr>
              <w:t xml:space="preserve"> </w:t>
            </w:r>
            <w:r w:rsidR="00623781" w:rsidRPr="002A647B">
              <w:rPr>
                <w:rFonts w:ascii="Calibri" w:hAnsi="Calibri"/>
                <w:bCs/>
              </w:rPr>
              <w:t xml:space="preserve">overall Benefit Cost Ratio associated with regeneration expenditure to be 2.3:1. The PWC evaluation of RDA spend (2009) also identified an average BCR ratio of just over 3:1 for physical regeneration schemes nationally. </w:t>
            </w:r>
            <w:r w:rsidR="00623781">
              <w:rPr>
                <w:rFonts w:ascii="Calibri" w:hAnsi="Calibri"/>
                <w:bCs/>
              </w:rPr>
              <w:t>We un</w:t>
            </w:r>
            <w:r w:rsidR="00944E40">
              <w:rPr>
                <w:rFonts w:ascii="Calibri" w:hAnsi="Calibri"/>
                <w:bCs/>
              </w:rPr>
              <w:t xml:space="preserve">derstand that </w:t>
            </w:r>
            <w:r w:rsidR="00623781">
              <w:rPr>
                <w:rFonts w:ascii="Calibri" w:hAnsi="Calibri"/>
                <w:bCs/>
              </w:rPr>
              <w:t xml:space="preserve">a BCR of 2:1 was used by DCLG in assessing Growth Deal bids. The phase 1 scheme therefore represents very good value for money in light of these comparable benchmark value for money indicators. </w:t>
            </w:r>
          </w:p>
          <w:p w:rsidR="00623781" w:rsidRDefault="00623781" w:rsidP="004D32E0">
            <w:pPr>
              <w:jc w:val="both"/>
            </w:pPr>
          </w:p>
          <w:p w:rsidR="00623781" w:rsidRDefault="00623781" w:rsidP="004D32E0">
            <w:pPr>
              <w:jc w:val="both"/>
            </w:pPr>
            <w:r w:rsidRPr="0092334B">
              <w:t>Furthermore, based on the projected development value of the completed phase 1 scheme once occupied, the p</w:t>
            </w:r>
            <w:r w:rsidR="0092334B" w:rsidRPr="0092334B">
              <w:t>hase 1 project will result in £4.60</w:t>
            </w:r>
            <w:r w:rsidRPr="0092334B">
              <w:t xml:space="preserve"> of private sector investment for every £1 of public sector funding.</w:t>
            </w:r>
            <w:r>
              <w:t xml:space="preserve"> </w:t>
            </w:r>
          </w:p>
          <w:p w:rsidR="00207873" w:rsidRDefault="00207873" w:rsidP="004D32E0">
            <w:pPr>
              <w:jc w:val="both"/>
            </w:pPr>
          </w:p>
          <w:p w:rsidR="00A66169" w:rsidRDefault="00207873" w:rsidP="004D32E0">
            <w:pPr>
              <w:jc w:val="both"/>
            </w:pPr>
            <w:r>
              <w:t xml:space="preserve">All costs are </w:t>
            </w:r>
            <w:r w:rsidR="001134F7">
              <w:t>based on October 2015 prices</w:t>
            </w:r>
            <w:r w:rsidR="006D5C47">
              <w:t xml:space="preserve"> (price base)</w:t>
            </w:r>
            <w:r w:rsidR="001134F7">
              <w:t xml:space="preserve"> with inflationary allowances and have all been provided by independent and professional cost consultants. </w:t>
            </w:r>
            <w:r w:rsidR="00944E40">
              <w:t xml:space="preserve">All market </w:t>
            </w:r>
            <w:r w:rsidR="00C74C08">
              <w:t>(</w:t>
            </w:r>
            <w:r w:rsidR="00944E40">
              <w:t>rental/investment</w:t>
            </w:r>
            <w:r w:rsidR="00C74C08">
              <w:t>)</w:t>
            </w:r>
            <w:r w:rsidR="00944E40">
              <w:t xml:space="preserve"> values have been provided by HBDL’s professional property surveyors.</w:t>
            </w:r>
          </w:p>
          <w:p w:rsidR="00A66169" w:rsidRDefault="00A66169" w:rsidP="004D32E0">
            <w:pPr>
              <w:jc w:val="both"/>
            </w:pPr>
          </w:p>
          <w:p w:rsidR="00207873" w:rsidRPr="004D32E0" w:rsidRDefault="00A66169" w:rsidP="004D32E0">
            <w:pPr>
              <w:jc w:val="both"/>
            </w:pPr>
            <w:r>
              <w:t xml:space="preserve">HBDL has invested c.£0.5m of private sector investment in the site and the Council has invested significant office resource in the project to date although no public sector capital expenditure has been incurred to account for as sunk costs in the VFM calculation as HBDL has funded the costs of the technical feasibility work and planning applications. </w:t>
            </w:r>
            <w:r w:rsidR="00944E40">
              <w:t xml:space="preserve"> </w:t>
            </w:r>
          </w:p>
          <w:p w:rsidR="00623781" w:rsidRDefault="00623781" w:rsidP="00E90CC1">
            <w:pPr>
              <w:rPr>
                <w:b/>
              </w:rPr>
            </w:pPr>
          </w:p>
          <w:p w:rsidR="00E90CC1" w:rsidRDefault="004D32E0" w:rsidP="00E90CC1">
            <w:pPr>
              <w:rPr>
                <w:b/>
              </w:rPr>
            </w:pPr>
            <w:r>
              <w:rPr>
                <w:b/>
              </w:rPr>
              <w:t>Sensitivity Analysis/</w:t>
            </w:r>
            <w:r w:rsidR="00E90CC1" w:rsidRPr="00C10158">
              <w:rPr>
                <w:b/>
              </w:rPr>
              <w:t>Op</w:t>
            </w:r>
            <w:r w:rsidR="00C10158" w:rsidRPr="00C10158">
              <w:rPr>
                <w:b/>
              </w:rPr>
              <w:t xml:space="preserve">timism Bias </w:t>
            </w:r>
          </w:p>
          <w:p w:rsidR="004D32E0" w:rsidRDefault="004D32E0" w:rsidP="00E90CC1">
            <w:pPr>
              <w:rPr>
                <w:b/>
              </w:rPr>
            </w:pPr>
          </w:p>
          <w:p w:rsidR="00623781" w:rsidRPr="002A647B" w:rsidRDefault="00623781" w:rsidP="00623781">
            <w:pPr>
              <w:jc w:val="both"/>
              <w:rPr>
                <w:rFonts w:ascii="Calibri" w:hAnsi="Calibri"/>
              </w:rPr>
            </w:pPr>
            <w:r w:rsidRPr="002A647B">
              <w:rPr>
                <w:rFonts w:ascii="Calibri" w:hAnsi="Calibri"/>
              </w:rPr>
              <w:t xml:space="preserve">The </w:t>
            </w:r>
            <w:r>
              <w:rPr>
                <w:rFonts w:ascii="Calibri" w:hAnsi="Calibri"/>
              </w:rPr>
              <w:t>ABP</w:t>
            </w:r>
            <w:r w:rsidRPr="002A647B">
              <w:rPr>
                <w:rFonts w:ascii="Calibri" w:hAnsi="Calibri"/>
              </w:rPr>
              <w:t xml:space="preserve"> project has been </w:t>
            </w:r>
            <w:r>
              <w:rPr>
                <w:rFonts w:ascii="Calibri" w:hAnsi="Calibri"/>
              </w:rPr>
              <w:t xml:space="preserve">in development </w:t>
            </w:r>
            <w:r w:rsidRPr="002A647B">
              <w:rPr>
                <w:rFonts w:ascii="Calibri" w:hAnsi="Calibri"/>
              </w:rPr>
              <w:t xml:space="preserve">for several years and as such a significant amount of </w:t>
            </w:r>
            <w:r>
              <w:rPr>
                <w:rFonts w:ascii="Calibri" w:hAnsi="Calibri"/>
              </w:rPr>
              <w:t xml:space="preserve">site and market technical </w:t>
            </w:r>
            <w:r w:rsidRPr="002A647B">
              <w:rPr>
                <w:rFonts w:ascii="Calibri" w:hAnsi="Calibri"/>
              </w:rPr>
              <w:t>due diligence</w:t>
            </w:r>
            <w:r>
              <w:rPr>
                <w:rFonts w:ascii="Calibri" w:hAnsi="Calibri"/>
              </w:rPr>
              <w:t xml:space="preserve"> and survey work has already been undertaken by HBDL and the Council to mitigate the potential for costs and values to vary significantly from those set out. </w:t>
            </w:r>
          </w:p>
          <w:p w:rsidR="00623781" w:rsidRPr="002A647B" w:rsidRDefault="00623781" w:rsidP="00623781">
            <w:pPr>
              <w:ind w:left="357"/>
              <w:jc w:val="both"/>
              <w:rPr>
                <w:rFonts w:ascii="Calibri" w:hAnsi="Calibri"/>
              </w:rPr>
            </w:pPr>
          </w:p>
          <w:p w:rsidR="00623781" w:rsidRDefault="00623781" w:rsidP="00623781">
            <w:pPr>
              <w:jc w:val="both"/>
              <w:rPr>
                <w:rFonts w:ascii="Calibri" w:hAnsi="Calibri"/>
              </w:rPr>
            </w:pPr>
            <w:r w:rsidRPr="002A647B">
              <w:rPr>
                <w:rFonts w:ascii="Calibri" w:hAnsi="Calibri"/>
              </w:rPr>
              <w:t xml:space="preserve">In the unlikely event that there are unforeseen cost increases which cannot be mitigated/managed within the budget, </w:t>
            </w:r>
            <w:r>
              <w:rPr>
                <w:rFonts w:ascii="Calibri" w:hAnsi="Calibri"/>
              </w:rPr>
              <w:t>the</w:t>
            </w:r>
            <w:r w:rsidRPr="002A647B">
              <w:rPr>
                <w:rFonts w:ascii="Calibri" w:hAnsi="Calibri"/>
              </w:rPr>
              <w:t xml:space="preserve"> Council would seek to meet these costs</w:t>
            </w:r>
            <w:r>
              <w:rPr>
                <w:rFonts w:ascii="Calibri" w:hAnsi="Calibri"/>
              </w:rPr>
              <w:t xml:space="preserve"> where possible</w:t>
            </w:r>
            <w:r w:rsidRPr="002A647B">
              <w:rPr>
                <w:rFonts w:ascii="Calibri" w:hAnsi="Calibri"/>
              </w:rPr>
              <w:t xml:space="preserve">.  We have </w:t>
            </w:r>
            <w:r>
              <w:rPr>
                <w:rFonts w:ascii="Calibri" w:hAnsi="Calibri"/>
              </w:rPr>
              <w:t>calculated</w:t>
            </w:r>
            <w:r w:rsidRPr="002A647B">
              <w:rPr>
                <w:rFonts w:ascii="Calibri" w:hAnsi="Calibri"/>
              </w:rPr>
              <w:t xml:space="preserve"> the impact on value for money ratios of a 44% increase in project costs (44% being the ‘recommended adjustment ranges’ in the Government’s Op</w:t>
            </w:r>
            <w:r>
              <w:rPr>
                <w:rFonts w:ascii="Calibri" w:hAnsi="Calibri"/>
              </w:rPr>
              <w:t>timism Bias Supplementary Green B</w:t>
            </w:r>
            <w:r w:rsidRPr="002A647B">
              <w:rPr>
                <w:rFonts w:ascii="Calibri" w:hAnsi="Calibri"/>
              </w:rPr>
              <w:t>ook Guidance</w:t>
            </w:r>
            <w:r>
              <w:rPr>
                <w:rFonts w:ascii="Calibri" w:hAnsi="Calibri"/>
              </w:rPr>
              <w:t xml:space="preserve"> for standard civil engineering projects</w:t>
            </w:r>
            <w:r w:rsidRPr="002A647B">
              <w:rPr>
                <w:rFonts w:ascii="Calibri" w:hAnsi="Calibri"/>
              </w:rPr>
              <w:t xml:space="preserve">), assuming the increase is met by additional public sector money. </w:t>
            </w:r>
            <w:r>
              <w:rPr>
                <w:rFonts w:ascii="Calibri" w:hAnsi="Calibri"/>
              </w:rPr>
              <w:t xml:space="preserve">This situation is highly unlikely but we have calculated this for completeness in accordance with the Green Book guidance. If the phase 1 </w:t>
            </w:r>
            <w:r w:rsidR="00E33E06">
              <w:rPr>
                <w:rFonts w:ascii="Calibri" w:hAnsi="Calibri"/>
              </w:rPr>
              <w:t xml:space="preserve">total </w:t>
            </w:r>
            <w:r w:rsidR="00AC4467">
              <w:rPr>
                <w:rFonts w:ascii="Calibri" w:hAnsi="Calibri"/>
              </w:rPr>
              <w:t xml:space="preserve">NPV </w:t>
            </w:r>
            <w:r w:rsidR="00E33E06">
              <w:rPr>
                <w:rFonts w:ascii="Calibri" w:hAnsi="Calibri"/>
              </w:rPr>
              <w:t xml:space="preserve">public sector </w:t>
            </w:r>
            <w:r w:rsidR="00AC4467">
              <w:rPr>
                <w:rFonts w:ascii="Calibri" w:hAnsi="Calibri"/>
              </w:rPr>
              <w:t xml:space="preserve">costs increase by 44% to £12.6m, </w:t>
            </w:r>
            <w:r>
              <w:rPr>
                <w:rFonts w:ascii="Calibri" w:hAnsi="Calibri"/>
              </w:rPr>
              <w:t xml:space="preserve">based on the delivery of a total of </w:t>
            </w:r>
            <w:r w:rsidR="001F21AB">
              <w:rPr>
                <w:rFonts w:ascii="Calibri" w:hAnsi="Calibri"/>
              </w:rPr>
              <w:t>742</w:t>
            </w:r>
            <w:r>
              <w:rPr>
                <w:rFonts w:ascii="Calibri" w:hAnsi="Calibri"/>
              </w:rPr>
              <w:t xml:space="preserve"> net additional indirect permanent jobs, this still equates to only £</w:t>
            </w:r>
            <w:r w:rsidR="001F21AB">
              <w:rPr>
                <w:rFonts w:ascii="Calibri" w:hAnsi="Calibri"/>
              </w:rPr>
              <w:t>17,000</w:t>
            </w:r>
            <w:r>
              <w:rPr>
                <w:rFonts w:ascii="Calibri" w:hAnsi="Calibri"/>
              </w:rPr>
              <w:t xml:space="preserve"> per net additional job, representing very good public sector value for money. From </w:t>
            </w:r>
            <w:r w:rsidR="00E33E06">
              <w:rPr>
                <w:rFonts w:ascii="Calibri" w:hAnsi="Calibri"/>
              </w:rPr>
              <w:t>an LGF funding only perspective, the LGF cost per net a</w:t>
            </w:r>
            <w:r w:rsidR="001F21AB">
              <w:rPr>
                <w:rFonts w:ascii="Calibri" w:hAnsi="Calibri"/>
              </w:rPr>
              <w:t>dditional job increases to c.6,2</w:t>
            </w:r>
            <w:r w:rsidR="00E33E06">
              <w:rPr>
                <w:rFonts w:ascii="Calibri" w:hAnsi="Calibri"/>
              </w:rPr>
              <w:t xml:space="preserve">00 which still represents very good value for money. In terms of the BCR, this reduces to 81:1 </w:t>
            </w:r>
            <w:r w:rsidR="00E33E06">
              <w:rPr>
                <w:rFonts w:ascii="Calibri" w:hAnsi="Calibri"/>
              </w:rPr>
              <w:lastRenderedPageBreak/>
              <w:t>based</w:t>
            </w:r>
            <w:r w:rsidR="001F21AB">
              <w:rPr>
                <w:rFonts w:ascii="Calibri" w:hAnsi="Calibri"/>
              </w:rPr>
              <w:t xml:space="preserve"> on the LGF funding alone and 29</w:t>
            </w:r>
            <w:r w:rsidR="00E33E06">
              <w:rPr>
                <w:rFonts w:ascii="Calibri" w:hAnsi="Calibri"/>
              </w:rPr>
              <w:t xml:space="preserve">:1 based on total public sector costs, still representing very good value for money. Further scenarios around reduced/delayed employment take-up could also be modelled if required but have not been modelled at this stage. </w:t>
            </w:r>
          </w:p>
          <w:p w:rsidR="00623781" w:rsidRDefault="00623781" w:rsidP="00E90CC1">
            <w:pPr>
              <w:rPr>
                <w:b/>
              </w:rPr>
            </w:pPr>
          </w:p>
          <w:p w:rsidR="004D32E0" w:rsidRPr="00C10158" w:rsidRDefault="004D32E0" w:rsidP="00E90CC1">
            <w:pPr>
              <w:rPr>
                <w:b/>
              </w:rPr>
            </w:pPr>
          </w:p>
          <w:p w:rsidR="003B57EE" w:rsidRPr="006E5B68" w:rsidRDefault="003B57EE" w:rsidP="00717D45">
            <w:pPr>
              <w:ind w:left="175" w:hanging="33"/>
            </w:pPr>
          </w:p>
        </w:tc>
      </w:tr>
      <w:tr w:rsidR="001F21AB" w:rsidTr="001F21AB">
        <w:tc>
          <w:tcPr>
            <w:tcW w:w="1839" w:type="dxa"/>
            <w:shd w:val="clear" w:color="auto" w:fill="FFC000"/>
          </w:tcPr>
          <w:p w:rsidR="00635093" w:rsidRPr="00685C6D" w:rsidRDefault="00A04356" w:rsidP="00B34F20">
            <w:pPr>
              <w:pStyle w:val="ListParagraph"/>
              <w:numPr>
                <w:ilvl w:val="1"/>
                <w:numId w:val="1"/>
              </w:numPr>
              <w:ind w:left="601" w:hanging="567"/>
              <w:rPr>
                <w:b/>
                <w:color w:val="FFFFFF" w:themeColor="background1"/>
              </w:rPr>
            </w:pPr>
            <w:r>
              <w:rPr>
                <w:b/>
                <w:color w:val="FFFFFF" w:themeColor="background1"/>
              </w:rPr>
              <w:lastRenderedPageBreak/>
              <w:t>Transport scheme assessment</w:t>
            </w:r>
          </w:p>
        </w:tc>
        <w:tc>
          <w:tcPr>
            <w:tcW w:w="8509" w:type="dxa"/>
          </w:tcPr>
          <w:p w:rsidR="00635093" w:rsidRPr="002F3B8C" w:rsidRDefault="00A04356" w:rsidP="00A04356">
            <w:pPr>
              <w:ind w:left="33" w:hanging="33"/>
              <w:rPr>
                <w:i/>
              </w:rPr>
            </w:pPr>
            <w:r w:rsidRPr="002F3B8C">
              <w:rPr>
                <w:i/>
              </w:rPr>
              <w:t>Provide a brief description of a modelling and appraisal methodology – including details of data source (supported by LMVR, forecasting report, data collection and analysis reports following the Major Schemes Business Case checklist</w:t>
            </w:r>
            <w:r w:rsidR="00E17CFD" w:rsidRPr="002F3B8C">
              <w:rPr>
                <w:i/>
              </w:rPr>
              <w:t>)</w:t>
            </w:r>
          </w:p>
          <w:p w:rsidR="002F3B8C" w:rsidRPr="002F3B8C" w:rsidRDefault="002F3B8C" w:rsidP="00A04356">
            <w:pPr>
              <w:ind w:left="33" w:hanging="33"/>
              <w:rPr>
                <w:i/>
              </w:rPr>
            </w:pPr>
          </w:p>
          <w:p w:rsidR="002F3B8C" w:rsidRPr="002F3B8C" w:rsidRDefault="002F3B8C" w:rsidP="002F3B8C">
            <w:pPr>
              <w:pStyle w:val="ListParagraph"/>
              <w:tabs>
                <w:tab w:val="left" w:pos="1985"/>
              </w:tabs>
              <w:spacing w:before="120"/>
              <w:ind w:left="0"/>
              <w:rPr>
                <w:rFonts w:cs="Arial"/>
                <w:i/>
              </w:rPr>
            </w:pPr>
            <w:r w:rsidRPr="002F3B8C">
              <w:rPr>
                <w:rFonts w:cs="Arial"/>
                <w:i/>
              </w:rPr>
              <w:t xml:space="preserve">Show sufficient information to demonstrate the analysis supporting the economic case fitness for purpose. </w:t>
            </w:r>
          </w:p>
          <w:p w:rsidR="002F3B8C" w:rsidRPr="002F3B8C" w:rsidRDefault="002F3B8C" w:rsidP="002F3B8C">
            <w:pPr>
              <w:pStyle w:val="ListParagraph"/>
              <w:tabs>
                <w:tab w:val="left" w:pos="1985"/>
              </w:tabs>
              <w:spacing w:before="120"/>
              <w:ind w:left="0"/>
              <w:rPr>
                <w:rFonts w:cs="Arial"/>
                <w:i/>
              </w:rPr>
            </w:pPr>
          </w:p>
          <w:p w:rsidR="002F3B8C" w:rsidRPr="002F3B8C" w:rsidRDefault="002F3B8C" w:rsidP="002F3B8C">
            <w:pPr>
              <w:pStyle w:val="ListParagraph"/>
              <w:tabs>
                <w:tab w:val="left" w:pos="1985"/>
              </w:tabs>
              <w:spacing w:before="120"/>
              <w:ind w:left="0"/>
              <w:rPr>
                <w:rFonts w:cs="Arial"/>
                <w:i/>
              </w:rPr>
            </w:pPr>
            <w:r w:rsidRPr="002F3B8C">
              <w:rPr>
                <w:rFonts w:cs="Arial"/>
                <w:i/>
              </w:rPr>
              <w:t>The level of detail in the appraisal summary table should be proportionate to the scale of expected impact with particular emphasis placed on the assessment of carbon, air quality, bus usage, sustainability modes, accessibility and road safety.</w:t>
            </w:r>
          </w:p>
          <w:p w:rsidR="002F3B8C" w:rsidRPr="002F3B8C" w:rsidRDefault="002F3B8C" w:rsidP="002F3B8C">
            <w:pPr>
              <w:pStyle w:val="ListParagraph"/>
              <w:tabs>
                <w:tab w:val="left" w:pos="1985"/>
              </w:tabs>
              <w:spacing w:before="120"/>
              <w:ind w:left="0"/>
              <w:rPr>
                <w:rFonts w:cs="Arial"/>
                <w:i/>
              </w:rPr>
            </w:pPr>
          </w:p>
          <w:p w:rsidR="002F3B8C" w:rsidRPr="002F3B8C" w:rsidRDefault="002F3B8C" w:rsidP="002F3B8C">
            <w:pPr>
              <w:rPr>
                <w:rFonts w:cs="Arial"/>
                <w:i/>
              </w:rPr>
            </w:pPr>
            <w:r w:rsidRPr="002F3B8C">
              <w:rPr>
                <w:rFonts w:cs="Arial"/>
                <w:i/>
              </w:rPr>
              <w:t>Please include information on wider economic benefits</w:t>
            </w:r>
          </w:p>
          <w:p w:rsidR="003B57EE" w:rsidRPr="002F3B8C" w:rsidRDefault="003B57EE" w:rsidP="00A04356">
            <w:pPr>
              <w:ind w:left="33" w:hanging="33"/>
              <w:rPr>
                <w:i/>
              </w:rPr>
            </w:pPr>
          </w:p>
        </w:tc>
      </w:tr>
      <w:tr w:rsidR="001F21AB" w:rsidTr="001F21AB">
        <w:tc>
          <w:tcPr>
            <w:tcW w:w="1839" w:type="dxa"/>
            <w:shd w:val="clear" w:color="auto" w:fill="FFC000"/>
          </w:tcPr>
          <w:p w:rsidR="00635093" w:rsidRPr="00685C6D" w:rsidRDefault="00A04356" w:rsidP="00B34F20">
            <w:pPr>
              <w:pStyle w:val="ListParagraph"/>
              <w:numPr>
                <w:ilvl w:val="1"/>
                <w:numId w:val="1"/>
              </w:numPr>
              <w:ind w:left="601" w:hanging="567"/>
              <w:rPr>
                <w:b/>
                <w:color w:val="FFFFFF" w:themeColor="background1"/>
              </w:rPr>
            </w:pPr>
            <w:r>
              <w:rPr>
                <w:b/>
                <w:color w:val="FFFFFF" w:themeColor="background1"/>
              </w:rPr>
              <w:t>Options assessed</w:t>
            </w:r>
          </w:p>
        </w:tc>
        <w:tc>
          <w:tcPr>
            <w:tcW w:w="8509" w:type="dxa"/>
          </w:tcPr>
          <w:p w:rsidR="00635093" w:rsidRDefault="00A04356" w:rsidP="00A04356">
            <w:pPr>
              <w:pStyle w:val="ListParagraph"/>
              <w:numPr>
                <w:ilvl w:val="0"/>
                <w:numId w:val="7"/>
              </w:numPr>
              <w:rPr>
                <w:i/>
              </w:rPr>
            </w:pPr>
            <w:r>
              <w:rPr>
                <w:i/>
              </w:rPr>
              <w:t>Assessment of options  considered- including do nothing, do minimum etc</w:t>
            </w:r>
          </w:p>
          <w:p w:rsidR="00462057" w:rsidRDefault="00A04356" w:rsidP="00462057">
            <w:pPr>
              <w:pStyle w:val="ListParagraph"/>
              <w:numPr>
                <w:ilvl w:val="0"/>
                <w:numId w:val="7"/>
              </w:numPr>
              <w:rPr>
                <w:i/>
              </w:rPr>
            </w:pPr>
            <w:r>
              <w:rPr>
                <w:i/>
              </w:rPr>
              <w:t>Recommended option. How do its impacts compare with the other options considered?</w:t>
            </w:r>
          </w:p>
          <w:p w:rsidR="00462057" w:rsidRDefault="00462057" w:rsidP="00462057">
            <w:pPr>
              <w:pStyle w:val="ListParagraph"/>
              <w:ind w:left="360"/>
              <w:rPr>
                <w:rFonts w:cs="Arial"/>
              </w:rPr>
            </w:pPr>
          </w:p>
          <w:p w:rsidR="00462057" w:rsidRPr="00462057" w:rsidRDefault="00462057" w:rsidP="00462057">
            <w:pPr>
              <w:rPr>
                <w:i/>
              </w:rPr>
            </w:pPr>
            <w:r w:rsidRPr="00462057">
              <w:rPr>
                <w:rFonts w:cs="Arial"/>
                <w:i/>
              </w:rPr>
              <w:t>Transport assessment of option</w:t>
            </w:r>
            <w:r>
              <w:rPr>
                <w:rFonts w:cs="Arial"/>
                <w:i/>
              </w:rPr>
              <w:t>s</w:t>
            </w:r>
          </w:p>
          <w:p w:rsidR="00462057" w:rsidRPr="00462057" w:rsidRDefault="00462057" w:rsidP="00462057">
            <w:pPr>
              <w:ind w:left="33"/>
              <w:rPr>
                <w:rFonts w:cs="Arial"/>
                <w:i/>
              </w:rPr>
            </w:pPr>
            <w:r w:rsidRPr="00462057">
              <w:rPr>
                <w:rFonts w:cs="Arial"/>
                <w:i/>
              </w:rPr>
              <w:t>Please provide a description of at least 4 options (or choices) for investment, together with their relative advantages and disadvantages (a SWOT analysis):</w:t>
            </w:r>
          </w:p>
          <w:p w:rsidR="00462057" w:rsidRPr="00462057" w:rsidRDefault="00462057" w:rsidP="00462057">
            <w:pPr>
              <w:pStyle w:val="ListParagraph"/>
              <w:numPr>
                <w:ilvl w:val="0"/>
                <w:numId w:val="11"/>
              </w:numPr>
              <w:tabs>
                <w:tab w:val="left" w:pos="1985"/>
              </w:tabs>
              <w:spacing w:before="120"/>
              <w:ind w:left="317" w:hanging="284"/>
              <w:rPr>
                <w:rFonts w:cs="Arial"/>
                <w:i/>
              </w:rPr>
            </w:pPr>
            <w:r w:rsidRPr="00462057">
              <w:rPr>
                <w:rFonts w:cs="Arial"/>
                <w:i/>
              </w:rPr>
              <w:t>Do nothing</w:t>
            </w:r>
          </w:p>
          <w:p w:rsidR="00462057" w:rsidRPr="00462057" w:rsidRDefault="00462057" w:rsidP="00462057">
            <w:pPr>
              <w:pStyle w:val="ListParagraph"/>
              <w:numPr>
                <w:ilvl w:val="0"/>
                <w:numId w:val="11"/>
              </w:numPr>
              <w:tabs>
                <w:tab w:val="left" w:pos="1985"/>
              </w:tabs>
              <w:spacing w:before="120"/>
              <w:ind w:left="317" w:hanging="284"/>
              <w:rPr>
                <w:rFonts w:cs="Arial"/>
                <w:i/>
              </w:rPr>
            </w:pPr>
            <w:r w:rsidRPr="00462057">
              <w:rPr>
                <w:rFonts w:cs="Arial"/>
                <w:i/>
              </w:rPr>
              <w:t>Do minimum</w:t>
            </w:r>
          </w:p>
          <w:p w:rsidR="00462057" w:rsidRPr="00462057" w:rsidRDefault="00462057" w:rsidP="00462057">
            <w:pPr>
              <w:pStyle w:val="ListParagraph"/>
              <w:numPr>
                <w:ilvl w:val="0"/>
                <w:numId w:val="11"/>
              </w:numPr>
              <w:tabs>
                <w:tab w:val="left" w:pos="1985"/>
              </w:tabs>
              <w:spacing w:before="120"/>
              <w:ind w:left="317" w:hanging="284"/>
              <w:rPr>
                <w:rFonts w:cs="Arial"/>
                <w:i/>
              </w:rPr>
            </w:pPr>
            <w:r w:rsidRPr="00462057">
              <w:rPr>
                <w:rFonts w:cs="Arial"/>
                <w:i/>
              </w:rPr>
              <w:t>Do something</w:t>
            </w:r>
          </w:p>
          <w:p w:rsidR="00462057" w:rsidRPr="00462057" w:rsidRDefault="00462057" w:rsidP="00462057">
            <w:pPr>
              <w:pStyle w:val="ListParagraph"/>
              <w:numPr>
                <w:ilvl w:val="0"/>
                <w:numId w:val="11"/>
              </w:numPr>
              <w:tabs>
                <w:tab w:val="left" w:pos="1985"/>
              </w:tabs>
              <w:spacing w:before="120"/>
              <w:ind w:left="317" w:hanging="284"/>
              <w:rPr>
                <w:rFonts w:cs="Arial"/>
                <w:i/>
              </w:rPr>
            </w:pPr>
            <w:r w:rsidRPr="00462057">
              <w:rPr>
                <w:rFonts w:cs="Arial"/>
                <w:i/>
              </w:rPr>
              <w:t>Do optimum</w:t>
            </w:r>
          </w:p>
          <w:p w:rsidR="00462057" w:rsidRPr="00462057" w:rsidRDefault="00462057" w:rsidP="00462057">
            <w:pPr>
              <w:ind w:left="317" w:hanging="284"/>
              <w:rPr>
                <w:rFonts w:cs="Arial"/>
                <w:i/>
              </w:rPr>
            </w:pPr>
          </w:p>
          <w:p w:rsidR="00462057" w:rsidRPr="00462057" w:rsidRDefault="00462057" w:rsidP="00462057">
            <w:pPr>
              <w:ind w:left="317" w:hanging="284"/>
              <w:rPr>
                <w:rFonts w:cs="Arial"/>
                <w:i/>
              </w:rPr>
            </w:pPr>
            <w:r w:rsidRPr="00462057">
              <w:rPr>
                <w:rFonts w:cs="Arial"/>
                <w:i/>
              </w:rPr>
              <w:t>Please bear in mind that:</w:t>
            </w:r>
          </w:p>
          <w:p w:rsidR="00462057" w:rsidRPr="00462057" w:rsidRDefault="00462057" w:rsidP="00462057">
            <w:pPr>
              <w:ind w:left="317" w:hanging="284"/>
              <w:rPr>
                <w:rFonts w:cs="Arial"/>
                <w:i/>
              </w:rPr>
            </w:pPr>
          </w:p>
          <w:p w:rsidR="00462057" w:rsidRPr="00462057" w:rsidRDefault="00462057" w:rsidP="00462057">
            <w:pPr>
              <w:numPr>
                <w:ilvl w:val="0"/>
                <w:numId w:val="9"/>
              </w:numPr>
              <w:tabs>
                <w:tab w:val="clear" w:pos="720"/>
                <w:tab w:val="num" w:pos="1800"/>
              </w:tabs>
              <w:ind w:left="317" w:hanging="284"/>
              <w:rPr>
                <w:rFonts w:cs="Arial"/>
                <w:i/>
              </w:rPr>
            </w:pPr>
            <w:r w:rsidRPr="00462057">
              <w:rPr>
                <w:rFonts w:cs="Arial"/>
                <w:i/>
              </w:rPr>
              <w:t>these options may differ in potential business scope, service solution, service delivery, implementation and funding, depending on the nature of the investment</w:t>
            </w:r>
          </w:p>
          <w:p w:rsidR="00462057" w:rsidRPr="00462057" w:rsidRDefault="00462057" w:rsidP="00462057">
            <w:pPr>
              <w:ind w:left="317" w:hanging="284"/>
              <w:rPr>
                <w:rFonts w:cs="Arial"/>
                <w:i/>
              </w:rPr>
            </w:pPr>
          </w:p>
          <w:p w:rsidR="00462057" w:rsidRPr="00462057" w:rsidRDefault="00462057" w:rsidP="00462057">
            <w:pPr>
              <w:numPr>
                <w:ilvl w:val="0"/>
                <w:numId w:val="9"/>
              </w:numPr>
              <w:tabs>
                <w:tab w:val="clear" w:pos="720"/>
                <w:tab w:val="num" w:pos="1800"/>
              </w:tabs>
              <w:ind w:left="317" w:hanging="284"/>
              <w:rPr>
                <w:rFonts w:cs="Arial"/>
                <w:i/>
              </w:rPr>
            </w:pPr>
            <w:r w:rsidRPr="00462057">
              <w:rPr>
                <w:rFonts w:cs="Arial"/>
                <w:i/>
              </w:rPr>
              <w:t>the investment appraisal for each option should be contained as an appendix  and prepared in accordance with the tools and techniques set out in the WebTAG, Capital Investment Manual and HM Treasury Green Book.</w:t>
            </w:r>
          </w:p>
          <w:p w:rsidR="003B57EE" w:rsidRDefault="003B57EE" w:rsidP="003B57EE">
            <w:pPr>
              <w:rPr>
                <w:i/>
              </w:rPr>
            </w:pPr>
          </w:p>
          <w:p w:rsidR="003B57EE" w:rsidRDefault="003B57EE" w:rsidP="003B57EE">
            <w:pPr>
              <w:rPr>
                <w:i/>
              </w:rPr>
            </w:pPr>
          </w:p>
          <w:p w:rsidR="00462057" w:rsidRPr="003B57EE" w:rsidRDefault="00462057" w:rsidP="003B57EE">
            <w:pPr>
              <w:rPr>
                <w:i/>
              </w:rPr>
            </w:pPr>
          </w:p>
        </w:tc>
      </w:tr>
      <w:tr w:rsidR="002D4397" w:rsidTr="00AD24D5">
        <w:trPr>
          <w:trHeight w:val="4810"/>
        </w:trPr>
        <w:tc>
          <w:tcPr>
            <w:tcW w:w="10348" w:type="dxa"/>
            <w:gridSpan w:val="2"/>
            <w:shd w:val="clear" w:color="auto" w:fill="FFC000"/>
          </w:tcPr>
          <w:p w:rsidR="002D4397" w:rsidRDefault="002D4397" w:rsidP="00B34F20">
            <w:pPr>
              <w:pStyle w:val="ListParagraph"/>
              <w:numPr>
                <w:ilvl w:val="1"/>
                <w:numId w:val="1"/>
              </w:numPr>
              <w:ind w:left="601" w:hanging="567"/>
              <w:rPr>
                <w:b/>
                <w:color w:val="FFFFFF" w:themeColor="background1"/>
              </w:rPr>
            </w:pPr>
            <w:r>
              <w:rPr>
                <w:b/>
                <w:color w:val="FFFFFF" w:themeColor="background1"/>
              </w:rPr>
              <w:lastRenderedPageBreak/>
              <w:t>Transport KPIs</w:t>
            </w:r>
          </w:p>
          <w:p w:rsidR="002D4397" w:rsidRDefault="002D4397" w:rsidP="002D4397">
            <w:pPr>
              <w:rPr>
                <w:b/>
                <w:color w:val="FFFFFF" w:themeColor="background1"/>
              </w:rPr>
            </w:pPr>
          </w:p>
          <w:tbl>
            <w:tblPr>
              <w:tblStyle w:val="TableGrid"/>
              <w:tblW w:w="0" w:type="auto"/>
              <w:tblLook w:val="04A0"/>
            </w:tblPr>
            <w:tblGrid>
              <w:gridCol w:w="2051"/>
              <w:gridCol w:w="1097"/>
              <w:gridCol w:w="2370"/>
              <w:gridCol w:w="2370"/>
              <w:gridCol w:w="2371"/>
            </w:tblGrid>
            <w:tr w:rsidR="002D4397">
              <w:tc>
                <w:tcPr>
                  <w:tcW w:w="2051" w:type="dxa"/>
                  <w:shd w:val="clear" w:color="auto" w:fill="FFFFFF" w:themeFill="background1"/>
                </w:tcPr>
                <w:p w:rsidR="002D4397" w:rsidRPr="002D4397" w:rsidRDefault="002D4397" w:rsidP="002D4397">
                  <w:pPr>
                    <w:rPr>
                      <w:b/>
                    </w:rPr>
                  </w:pPr>
                  <w:r>
                    <w:rPr>
                      <w:b/>
                    </w:rPr>
                    <w:t>Key performance indicators</w:t>
                  </w:r>
                </w:p>
              </w:tc>
              <w:tc>
                <w:tcPr>
                  <w:tcW w:w="1097" w:type="dxa"/>
                  <w:shd w:val="clear" w:color="auto" w:fill="FFFFFF" w:themeFill="background1"/>
                </w:tcPr>
                <w:p w:rsidR="002D4397" w:rsidRPr="002D4397" w:rsidRDefault="002D4397" w:rsidP="002D4397">
                  <w:pPr>
                    <w:rPr>
                      <w:b/>
                    </w:rPr>
                  </w:pPr>
                  <w:r>
                    <w:rPr>
                      <w:b/>
                    </w:rPr>
                    <w:t>Unit</w:t>
                  </w:r>
                </w:p>
              </w:tc>
              <w:tc>
                <w:tcPr>
                  <w:tcW w:w="2370" w:type="dxa"/>
                  <w:shd w:val="clear" w:color="auto" w:fill="FFFFFF" w:themeFill="background1"/>
                </w:tcPr>
                <w:p w:rsidR="002D4397" w:rsidRPr="002D4397" w:rsidRDefault="002D4397" w:rsidP="002D4397">
                  <w:pPr>
                    <w:rPr>
                      <w:b/>
                    </w:rPr>
                  </w:pPr>
                  <w:r>
                    <w:rPr>
                      <w:b/>
                    </w:rPr>
                    <w:t>AM Peak – Weekday</w:t>
                  </w:r>
                </w:p>
              </w:tc>
              <w:tc>
                <w:tcPr>
                  <w:tcW w:w="2370" w:type="dxa"/>
                  <w:shd w:val="clear" w:color="auto" w:fill="FFFFFF" w:themeFill="background1"/>
                </w:tcPr>
                <w:p w:rsidR="002D4397" w:rsidRPr="002D4397" w:rsidRDefault="002D4397" w:rsidP="002D4397">
                  <w:pPr>
                    <w:rPr>
                      <w:b/>
                    </w:rPr>
                  </w:pPr>
                  <w:r>
                    <w:rPr>
                      <w:b/>
                    </w:rPr>
                    <w:t>PM Peak – Weekday</w:t>
                  </w:r>
                </w:p>
              </w:tc>
              <w:tc>
                <w:tcPr>
                  <w:tcW w:w="2371" w:type="dxa"/>
                  <w:shd w:val="clear" w:color="auto" w:fill="FFFFFF" w:themeFill="background1"/>
                </w:tcPr>
                <w:p w:rsidR="002D4397" w:rsidRPr="002D4397" w:rsidRDefault="002D4397" w:rsidP="002D4397">
                  <w:pPr>
                    <w:rPr>
                      <w:b/>
                    </w:rPr>
                  </w:pPr>
                  <w:r>
                    <w:rPr>
                      <w:b/>
                    </w:rPr>
                    <w:t>Interpeak - Weekday</w:t>
                  </w:r>
                </w:p>
              </w:tc>
            </w:tr>
            <w:tr w:rsidR="002D4397">
              <w:tc>
                <w:tcPr>
                  <w:tcW w:w="2051" w:type="dxa"/>
                  <w:shd w:val="clear" w:color="auto" w:fill="FFFFFF" w:themeFill="background1"/>
                </w:tcPr>
                <w:p w:rsidR="002D4397" w:rsidRPr="002D4397" w:rsidRDefault="002D4397" w:rsidP="002D4397">
                  <w:r>
                    <w:t>Congestion relief road schemes</w:t>
                  </w:r>
                </w:p>
              </w:tc>
              <w:tc>
                <w:tcPr>
                  <w:tcW w:w="1097" w:type="dxa"/>
                  <w:shd w:val="clear" w:color="auto" w:fill="FFFFFF" w:themeFill="background1"/>
                </w:tcPr>
                <w:p w:rsidR="002D4397" w:rsidRPr="002D4397" w:rsidRDefault="002D4397" w:rsidP="002D4397"/>
              </w:tc>
              <w:tc>
                <w:tcPr>
                  <w:tcW w:w="2370" w:type="dxa"/>
                  <w:shd w:val="clear" w:color="auto" w:fill="FFFFFF" w:themeFill="background1"/>
                </w:tcPr>
                <w:p w:rsidR="002D4397" w:rsidRPr="002D4397" w:rsidRDefault="002D4397" w:rsidP="002D4397"/>
              </w:tc>
              <w:tc>
                <w:tcPr>
                  <w:tcW w:w="2370" w:type="dxa"/>
                  <w:shd w:val="clear" w:color="auto" w:fill="FFFFFF" w:themeFill="background1"/>
                </w:tcPr>
                <w:p w:rsidR="002D4397" w:rsidRPr="002D4397" w:rsidRDefault="002D4397" w:rsidP="002D4397"/>
              </w:tc>
              <w:tc>
                <w:tcPr>
                  <w:tcW w:w="2371" w:type="dxa"/>
                  <w:shd w:val="clear" w:color="auto" w:fill="FFFFFF" w:themeFill="background1"/>
                </w:tcPr>
                <w:p w:rsidR="002D4397" w:rsidRPr="002D4397" w:rsidRDefault="002D4397" w:rsidP="002D4397"/>
              </w:tc>
            </w:tr>
            <w:tr w:rsidR="002D4397">
              <w:tc>
                <w:tcPr>
                  <w:tcW w:w="2051" w:type="dxa"/>
                  <w:shd w:val="clear" w:color="auto" w:fill="FFFFFF" w:themeFill="background1"/>
                </w:tcPr>
                <w:p w:rsidR="002D4397" w:rsidRPr="002D4397" w:rsidRDefault="002D4397" w:rsidP="002D4397">
                  <w:r>
                    <w:t>Congestion relief through public transport, demand management and others</w:t>
                  </w:r>
                </w:p>
              </w:tc>
              <w:tc>
                <w:tcPr>
                  <w:tcW w:w="1097" w:type="dxa"/>
                  <w:shd w:val="clear" w:color="auto" w:fill="FFFFFF" w:themeFill="background1"/>
                </w:tcPr>
                <w:p w:rsidR="002D4397" w:rsidRPr="002D4397" w:rsidRDefault="002D4397" w:rsidP="002D4397"/>
              </w:tc>
              <w:tc>
                <w:tcPr>
                  <w:tcW w:w="2370" w:type="dxa"/>
                  <w:shd w:val="clear" w:color="auto" w:fill="FFFFFF" w:themeFill="background1"/>
                </w:tcPr>
                <w:p w:rsidR="002D4397" w:rsidRPr="002D4397" w:rsidRDefault="002D4397" w:rsidP="002D4397"/>
              </w:tc>
              <w:tc>
                <w:tcPr>
                  <w:tcW w:w="2370" w:type="dxa"/>
                  <w:shd w:val="clear" w:color="auto" w:fill="FFFFFF" w:themeFill="background1"/>
                </w:tcPr>
                <w:p w:rsidR="002D4397" w:rsidRPr="002D4397" w:rsidRDefault="002D4397" w:rsidP="002D4397"/>
              </w:tc>
              <w:tc>
                <w:tcPr>
                  <w:tcW w:w="2371" w:type="dxa"/>
                  <w:shd w:val="clear" w:color="auto" w:fill="FFFFFF" w:themeFill="background1"/>
                </w:tcPr>
                <w:p w:rsidR="002D4397" w:rsidRPr="002D4397" w:rsidRDefault="002D4397" w:rsidP="002D4397"/>
              </w:tc>
            </w:tr>
            <w:tr w:rsidR="002D4397">
              <w:tc>
                <w:tcPr>
                  <w:tcW w:w="2051" w:type="dxa"/>
                  <w:shd w:val="clear" w:color="auto" w:fill="FFFFFF" w:themeFill="background1"/>
                </w:tcPr>
                <w:p w:rsidR="002D4397" w:rsidRPr="002D4397" w:rsidRDefault="002D4397" w:rsidP="002D4397">
                  <w:r>
                    <w:t>Access to development site schemes</w:t>
                  </w:r>
                </w:p>
              </w:tc>
              <w:tc>
                <w:tcPr>
                  <w:tcW w:w="1097" w:type="dxa"/>
                  <w:shd w:val="clear" w:color="auto" w:fill="FFFFFF" w:themeFill="background1"/>
                </w:tcPr>
                <w:p w:rsidR="002D4397" w:rsidRPr="002D4397" w:rsidRDefault="002D4397" w:rsidP="002D4397"/>
              </w:tc>
              <w:tc>
                <w:tcPr>
                  <w:tcW w:w="2370" w:type="dxa"/>
                  <w:shd w:val="clear" w:color="auto" w:fill="FFFFFF" w:themeFill="background1"/>
                </w:tcPr>
                <w:p w:rsidR="002D4397" w:rsidRPr="002D4397" w:rsidRDefault="002D4397" w:rsidP="002D4397"/>
              </w:tc>
              <w:tc>
                <w:tcPr>
                  <w:tcW w:w="2370" w:type="dxa"/>
                  <w:shd w:val="clear" w:color="auto" w:fill="FFFFFF" w:themeFill="background1"/>
                </w:tcPr>
                <w:p w:rsidR="002D4397" w:rsidRPr="002D4397" w:rsidRDefault="002D4397" w:rsidP="002D4397"/>
              </w:tc>
              <w:tc>
                <w:tcPr>
                  <w:tcW w:w="2371" w:type="dxa"/>
                  <w:shd w:val="clear" w:color="auto" w:fill="FFFFFF" w:themeFill="background1"/>
                </w:tcPr>
                <w:p w:rsidR="002D4397" w:rsidRPr="002D4397" w:rsidRDefault="002D4397" w:rsidP="002D4397"/>
              </w:tc>
            </w:tr>
            <w:tr w:rsidR="002D4397">
              <w:tc>
                <w:tcPr>
                  <w:tcW w:w="2051" w:type="dxa"/>
                  <w:shd w:val="clear" w:color="auto" w:fill="FFFFFF" w:themeFill="background1"/>
                </w:tcPr>
                <w:p w:rsidR="002D4397" w:rsidRPr="002D4397" w:rsidRDefault="002D4397" w:rsidP="002D4397">
                  <w:r>
                    <w:t>Structural maintenance schemes</w:t>
                  </w:r>
                </w:p>
              </w:tc>
              <w:tc>
                <w:tcPr>
                  <w:tcW w:w="1097" w:type="dxa"/>
                  <w:shd w:val="clear" w:color="auto" w:fill="FFFFFF" w:themeFill="background1"/>
                </w:tcPr>
                <w:p w:rsidR="002D4397" w:rsidRPr="002D4397" w:rsidRDefault="002D4397" w:rsidP="002D4397"/>
              </w:tc>
              <w:tc>
                <w:tcPr>
                  <w:tcW w:w="2370" w:type="dxa"/>
                  <w:shd w:val="clear" w:color="auto" w:fill="FFFFFF" w:themeFill="background1"/>
                </w:tcPr>
                <w:p w:rsidR="002D4397" w:rsidRPr="002D4397" w:rsidRDefault="002D4397" w:rsidP="002D4397"/>
              </w:tc>
              <w:tc>
                <w:tcPr>
                  <w:tcW w:w="2370" w:type="dxa"/>
                  <w:shd w:val="clear" w:color="auto" w:fill="FFFFFF" w:themeFill="background1"/>
                </w:tcPr>
                <w:p w:rsidR="002D4397" w:rsidRPr="002D4397" w:rsidRDefault="002D4397" w:rsidP="002D4397"/>
              </w:tc>
              <w:tc>
                <w:tcPr>
                  <w:tcW w:w="2371" w:type="dxa"/>
                  <w:shd w:val="clear" w:color="auto" w:fill="FFFFFF" w:themeFill="background1"/>
                </w:tcPr>
                <w:p w:rsidR="002D4397" w:rsidRPr="002D4397" w:rsidRDefault="002D4397" w:rsidP="002D4397"/>
              </w:tc>
            </w:tr>
          </w:tbl>
          <w:p w:rsidR="002D4397" w:rsidRPr="006E5B68" w:rsidRDefault="002D4397" w:rsidP="00A04356">
            <w:pPr>
              <w:ind w:left="33" w:hanging="33"/>
            </w:pPr>
          </w:p>
        </w:tc>
      </w:tr>
      <w:tr w:rsidR="001F21AB" w:rsidTr="001F21AB">
        <w:tc>
          <w:tcPr>
            <w:tcW w:w="1839" w:type="dxa"/>
            <w:shd w:val="clear" w:color="auto" w:fill="FFC000"/>
          </w:tcPr>
          <w:p w:rsidR="00635093" w:rsidRPr="00685C6D" w:rsidRDefault="002D4397" w:rsidP="00B34F20">
            <w:pPr>
              <w:pStyle w:val="ListParagraph"/>
              <w:numPr>
                <w:ilvl w:val="1"/>
                <w:numId w:val="1"/>
              </w:numPr>
              <w:ind w:left="601" w:hanging="567"/>
              <w:rPr>
                <w:b/>
                <w:color w:val="FFFFFF" w:themeColor="background1"/>
              </w:rPr>
            </w:pPr>
            <w:r>
              <w:rPr>
                <w:b/>
                <w:color w:val="FFFFFF" w:themeColor="background1"/>
              </w:rPr>
              <w:t>Assumptions</w:t>
            </w:r>
          </w:p>
        </w:tc>
        <w:tc>
          <w:tcPr>
            <w:tcW w:w="8509" w:type="dxa"/>
          </w:tcPr>
          <w:p w:rsidR="00462057" w:rsidRPr="00462057" w:rsidRDefault="002D4397" w:rsidP="00462057">
            <w:pPr>
              <w:pStyle w:val="Default"/>
              <w:rPr>
                <w:rFonts w:asciiTheme="minorHAnsi" w:hAnsiTheme="minorHAnsi"/>
                <w:i/>
                <w:sz w:val="22"/>
                <w:szCs w:val="22"/>
              </w:rPr>
            </w:pPr>
            <w:r w:rsidRPr="00462057">
              <w:rPr>
                <w:rFonts w:asciiTheme="minorHAnsi" w:hAnsiTheme="minorHAnsi"/>
                <w:i/>
                <w:sz w:val="22"/>
                <w:szCs w:val="22"/>
              </w:rPr>
              <w:t>List all assumptions made for transport modelling and approach</w:t>
            </w:r>
            <w:r w:rsidR="00462057" w:rsidRPr="00462057">
              <w:rPr>
                <w:rFonts w:asciiTheme="minorHAnsi" w:hAnsiTheme="minorHAnsi"/>
                <w:i/>
                <w:sz w:val="22"/>
                <w:szCs w:val="22"/>
              </w:rPr>
              <w:t xml:space="preserve">. WebTAG sets out assumptions that should be used in the conduct of transport studies. </w:t>
            </w:r>
          </w:p>
          <w:p w:rsidR="00462057" w:rsidRPr="00462057" w:rsidRDefault="00462057" w:rsidP="00462057">
            <w:pPr>
              <w:pStyle w:val="Default"/>
              <w:rPr>
                <w:rFonts w:asciiTheme="minorHAnsi" w:hAnsiTheme="minorHAnsi"/>
                <w:i/>
                <w:sz w:val="22"/>
                <w:szCs w:val="22"/>
              </w:rPr>
            </w:pPr>
          </w:p>
          <w:p w:rsidR="003B57EE" w:rsidRDefault="00462057" w:rsidP="00462057">
            <w:pPr>
              <w:pStyle w:val="Default"/>
              <w:rPr>
                <w:i/>
              </w:rPr>
            </w:pPr>
            <w:r w:rsidRPr="00462057">
              <w:rPr>
                <w:rFonts w:asciiTheme="minorHAnsi" w:hAnsiTheme="minorHAnsi"/>
                <w:i/>
                <w:sz w:val="22"/>
                <w:szCs w:val="22"/>
              </w:rPr>
              <w:t>In addition, please list any further assump</w:t>
            </w:r>
            <w:r>
              <w:rPr>
                <w:rFonts w:asciiTheme="minorHAnsi" w:hAnsiTheme="minorHAnsi"/>
                <w:i/>
                <w:sz w:val="22"/>
                <w:szCs w:val="22"/>
              </w:rPr>
              <w:t xml:space="preserve">tions supporting the analysis. </w:t>
            </w:r>
          </w:p>
          <w:p w:rsidR="003B57EE" w:rsidRPr="002D4397" w:rsidRDefault="003B57EE" w:rsidP="00A04356">
            <w:pPr>
              <w:ind w:left="33" w:hanging="33"/>
              <w:rPr>
                <w:i/>
              </w:rPr>
            </w:pPr>
          </w:p>
        </w:tc>
      </w:tr>
      <w:tr w:rsidR="001F21AB" w:rsidTr="001F21AB">
        <w:tc>
          <w:tcPr>
            <w:tcW w:w="1839" w:type="dxa"/>
            <w:shd w:val="clear" w:color="auto" w:fill="FFC000"/>
          </w:tcPr>
          <w:p w:rsidR="00635093" w:rsidRPr="00685C6D" w:rsidRDefault="002D4397" w:rsidP="00B34F20">
            <w:pPr>
              <w:pStyle w:val="ListParagraph"/>
              <w:numPr>
                <w:ilvl w:val="1"/>
                <w:numId w:val="1"/>
              </w:numPr>
              <w:ind w:left="601" w:hanging="567"/>
              <w:rPr>
                <w:b/>
                <w:color w:val="FFFFFF" w:themeColor="background1"/>
              </w:rPr>
            </w:pPr>
            <w:r>
              <w:rPr>
                <w:b/>
                <w:color w:val="FFFFFF" w:themeColor="background1"/>
              </w:rPr>
              <w:t>Sensitivity  tests</w:t>
            </w:r>
          </w:p>
        </w:tc>
        <w:tc>
          <w:tcPr>
            <w:tcW w:w="8509" w:type="dxa"/>
          </w:tcPr>
          <w:p w:rsidR="00635093" w:rsidRDefault="002D4397" w:rsidP="00A04356">
            <w:pPr>
              <w:ind w:left="33" w:hanging="33"/>
              <w:rPr>
                <w:i/>
              </w:rPr>
            </w:pPr>
            <w:r w:rsidRPr="002D4397">
              <w:rPr>
                <w:i/>
              </w:rPr>
              <w:t>Set out your sensitivity tests considering risks, uncertainties and sensitivities associated with the project</w:t>
            </w:r>
          </w:p>
          <w:p w:rsidR="003B57EE" w:rsidRDefault="003B57EE" w:rsidP="00A04356">
            <w:pPr>
              <w:ind w:left="33" w:hanging="33"/>
              <w:rPr>
                <w:i/>
              </w:rPr>
            </w:pPr>
          </w:p>
          <w:p w:rsidR="003B57EE" w:rsidRDefault="003B57EE" w:rsidP="00A04356">
            <w:pPr>
              <w:ind w:left="33" w:hanging="33"/>
              <w:rPr>
                <w:i/>
              </w:rPr>
            </w:pPr>
          </w:p>
          <w:p w:rsidR="002D4397" w:rsidRPr="006E5B68" w:rsidRDefault="002D4397" w:rsidP="00462057"/>
        </w:tc>
      </w:tr>
      <w:tr w:rsidR="00C948E1" w:rsidTr="00AD24D5">
        <w:trPr>
          <w:trHeight w:val="4862"/>
        </w:trPr>
        <w:tc>
          <w:tcPr>
            <w:tcW w:w="10348" w:type="dxa"/>
            <w:gridSpan w:val="2"/>
            <w:shd w:val="clear" w:color="auto" w:fill="FFC000"/>
          </w:tcPr>
          <w:p w:rsidR="00C948E1" w:rsidRDefault="00C948E1" w:rsidP="00B34F20">
            <w:pPr>
              <w:pStyle w:val="ListParagraph"/>
              <w:numPr>
                <w:ilvl w:val="1"/>
                <w:numId w:val="1"/>
              </w:numPr>
              <w:ind w:left="601" w:hanging="567"/>
              <w:rPr>
                <w:b/>
                <w:color w:val="FFFFFF" w:themeColor="background1"/>
              </w:rPr>
            </w:pPr>
            <w:r>
              <w:rPr>
                <w:b/>
                <w:color w:val="FFFFFF" w:themeColor="background1"/>
              </w:rPr>
              <w:t>Appraisal summary</w:t>
            </w:r>
          </w:p>
          <w:p w:rsidR="00C948E1" w:rsidRDefault="00C948E1" w:rsidP="00C948E1">
            <w:pPr>
              <w:rPr>
                <w:b/>
                <w:color w:val="FFFFFF" w:themeColor="background1"/>
              </w:rPr>
            </w:pPr>
          </w:p>
          <w:p w:rsidR="00C948E1" w:rsidRDefault="00C948E1" w:rsidP="00C948E1">
            <w:pPr>
              <w:rPr>
                <w:i/>
                <w:color w:val="FFFFFF" w:themeColor="background1"/>
              </w:rPr>
            </w:pPr>
            <w:r>
              <w:rPr>
                <w:i/>
                <w:color w:val="FFFFFF" w:themeColor="background1"/>
              </w:rPr>
              <w:t>Provide positive and negative impacts of the scheme in the table below. Please adhere to WebTAG guidance.</w:t>
            </w:r>
          </w:p>
          <w:p w:rsidR="00C948E1" w:rsidRPr="00C948E1" w:rsidRDefault="00C948E1" w:rsidP="00C948E1">
            <w:pPr>
              <w:rPr>
                <w:b/>
                <w:i/>
                <w:color w:val="FFFFFF" w:themeColor="background1"/>
              </w:rPr>
            </w:pPr>
          </w:p>
          <w:tbl>
            <w:tblPr>
              <w:tblStyle w:val="TableGrid"/>
              <w:tblW w:w="0" w:type="auto"/>
              <w:tblLook w:val="04A0"/>
            </w:tblPr>
            <w:tblGrid>
              <w:gridCol w:w="2014"/>
              <w:gridCol w:w="2748"/>
              <w:gridCol w:w="2748"/>
              <w:gridCol w:w="2749"/>
            </w:tblGrid>
            <w:tr w:rsidR="00C948E1" w:rsidRPr="00C948E1">
              <w:tc>
                <w:tcPr>
                  <w:tcW w:w="2014" w:type="dxa"/>
                  <w:shd w:val="clear" w:color="auto" w:fill="FFFFFF" w:themeFill="background1"/>
                </w:tcPr>
                <w:p w:rsidR="00C948E1" w:rsidRPr="00C948E1" w:rsidRDefault="00C948E1" w:rsidP="00C948E1">
                  <w:pPr>
                    <w:rPr>
                      <w:b/>
                    </w:rPr>
                  </w:pPr>
                  <w:r w:rsidRPr="00C948E1">
                    <w:rPr>
                      <w:b/>
                    </w:rPr>
                    <w:t>Category</w:t>
                  </w:r>
                  <w:r>
                    <w:rPr>
                      <w:b/>
                    </w:rPr>
                    <w:t xml:space="preserve"> of impact</w:t>
                  </w:r>
                </w:p>
              </w:tc>
              <w:tc>
                <w:tcPr>
                  <w:tcW w:w="2748" w:type="dxa"/>
                  <w:shd w:val="clear" w:color="auto" w:fill="FFFFFF" w:themeFill="background1"/>
                </w:tcPr>
                <w:p w:rsidR="00C948E1" w:rsidRPr="00C948E1" w:rsidRDefault="00C948E1" w:rsidP="00C948E1">
                  <w:pPr>
                    <w:rPr>
                      <w:b/>
                    </w:rPr>
                  </w:pPr>
                  <w:r>
                    <w:rPr>
                      <w:b/>
                    </w:rPr>
                    <w:t>Impacts typically monetised</w:t>
                  </w:r>
                </w:p>
              </w:tc>
              <w:tc>
                <w:tcPr>
                  <w:tcW w:w="2748" w:type="dxa"/>
                  <w:shd w:val="clear" w:color="auto" w:fill="FFFFFF" w:themeFill="background1"/>
                </w:tcPr>
                <w:p w:rsidR="00C948E1" w:rsidRPr="00C948E1" w:rsidRDefault="00C948E1" w:rsidP="00C948E1">
                  <w:pPr>
                    <w:rPr>
                      <w:b/>
                    </w:rPr>
                  </w:pPr>
                  <w:r>
                    <w:rPr>
                      <w:b/>
                    </w:rPr>
                    <w:t>Impacts that can be monetised</w:t>
                  </w:r>
                </w:p>
              </w:tc>
              <w:tc>
                <w:tcPr>
                  <w:tcW w:w="2749" w:type="dxa"/>
                  <w:shd w:val="clear" w:color="auto" w:fill="FFFFFF" w:themeFill="background1"/>
                </w:tcPr>
                <w:p w:rsidR="00C948E1" w:rsidRPr="00C948E1" w:rsidRDefault="00C948E1" w:rsidP="00C948E1">
                  <w:pPr>
                    <w:rPr>
                      <w:b/>
                    </w:rPr>
                  </w:pPr>
                  <w:r>
                    <w:rPr>
                      <w:b/>
                    </w:rPr>
                    <w:t>Impacts currently normally monetised</w:t>
                  </w:r>
                </w:p>
              </w:tc>
            </w:tr>
            <w:tr w:rsidR="00C948E1">
              <w:tc>
                <w:tcPr>
                  <w:tcW w:w="2014" w:type="dxa"/>
                  <w:shd w:val="clear" w:color="auto" w:fill="FFFFFF" w:themeFill="background1"/>
                </w:tcPr>
                <w:p w:rsidR="00C948E1" w:rsidRPr="00C948E1" w:rsidRDefault="00C948E1" w:rsidP="00C948E1">
                  <w:r>
                    <w:t>Economy</w:t>
                  </w:r>
                </w:p>
              </w:tc>
              <w:tc>
                <w:tcPr>
                  <w:tcW w:w="2748" w:type="dxa"/>
                  <w:shd w:val="clear" w:color="auto" w:fill="FFFFFF" w:themeFill="background1"/>
                </w:tcPr>
                <w:p w:rsidR="00C948E1" w:rsidRPr="00C948E1" w:rsidRDefault="00C948E1" w:rsidP="00C948E1">
                  <w:r>
                    <w:t>Business users and providers</w:t>
                  </w:r>
                </w:p>
              </w:tc>
              <w:tc>
                <w:tcPr>
                  <w:tcW w:w="2748" w:type="dxa"/>
                  <w:shd w:val="clear" w:color="auto" w:fill="FFFFFF" w:themeFill="background1"/>
                </w:tcPr>
                <w:p w:rsidR="00C948E1" w:rsidRDefault="00C948E1" w:rsidP="00C948E1">
                  <w:r>
                    <w:t>Reliability regeneration</w:t>
                  </w:r>
                </w:p>
                <w:p w:rsidR="00C948E1" w:rsidRPr="00C948E1" w:rsidRDefault="00C948E1" w:rsidP="00C948E1">
                  <w:r>
                    <w:t>Wider impacts</w:t>
                  </w:r>
                </w:p>
              </w:tc>
              <w:tc>
                <w:tcPr>
                  <w:tcW w:w="2749" w:type="dxa"/>
                  <w:vMerge w:val="restart"/>
                  <w:shd w:val="clear" w:color="auto" w:fill="FFFFFF" w:themeFill="background1"/>
                </w:tcPr>
                <w:p w:rsidR="00C948E1" w:rsidRDefault="00C948E1" w:rsidP="00C948E1"/>
                <w:p w:rsidR="00C948E1" w:rsidRDefault="00C948E1" w:rsidP="00C948E1">
                  <w:r>
                    <w:t>Townscape heritage</w:t>
                  </w:r>
                </w:p>
                <w:p w:rsidR="00C948E1" w:rsidRDefault="00C948E1" w:rsidP="00C948E1">
                  <w:r>
                    <w:t>Biodiversity Water</w:t>
                  </w:r>
                </w:p>
                <w:p w:rsidR="00C948E1" w:rsidRDefault="00C948E1" w:rsidP="00C948E1">
                  <w:r>
                    <w:t>Security Access to</w:t>
                  </w:r>
                </w:p>
                <w:p w:rsidR="00C948E1" w:rsidRDefault="00C948E1" w:rsidP="00C948E1">
                  <w:r>
                    <w:t xml:space="preserve">Services Affordability </w:t>
                  </w:r>
                </w:p>
                <w:p w:rsidR="00C948E1" w:rsidRPr="00C948E1" w:rsidRDefault="00C948E1" w:rsidP="00C948E1">
                  <w:r>
                    <w:t>Severance</w:t>
                  </w:r>
                </w:p>
              </w:tc>
            </w:tr>
            <w:tr w:rsidR="00C948E1">
              <w:tc>
                <w:tcPr>
                  <w:tcW w:w="2014" w:type="dxa"/>
                  <w:shd w:val="clear" w:color="auto" w:fill="FFFFFF" w:themeFill="background1"/>
                </w:tcPr>
                <w:p w:rsidR="00C948E1" w:rsidRPr="00C948E1" w:rsidRDefault="00C948E1" w:rsidP="00C948E1">
                  <w:r>
                    <w:t>Environment</w:t>
                  </w:r>
                </w:p>
              </w:tc>
              <w:tc>
                <w:tcPr>
                  <w:tcW w:w="2748" w:type="dxa"/>
                  <w:shd w:val="clear" w:color="auto" w:fill="FFFFFF" w:themeFill="background1"/>
                </w:tcPr>
                <w:p w:rsidR="00C948E1" w:rsidRPr="00C948E1" w:rsidRDefault="00C948E1" w:rsidP="00C948E1">
                  <w:r>
                    <w:t>Noise; Air Quality Greenhouse Gas</w:t>
                  </w:r>
                </w:p>
              </w:tc>
              <w:tc>
                <w:tcPr>
                  <w:tcW w:w="2748" w:type="dxa"/>
                  <w:shd w:val="clear" w:color="auto" w:fill="FFFFFF" w:themeFill="background1"/>
                </w:tcPr>
                <w:p w:rsidR="00C948E1" w:rsidRPr="00C948E1" w:rsidRDefault="00C948E1" w:rsidP="00C948E1">
                  <w:r>
                    <w:t>Lanscape</w:t>
                  </w:r>
                </w:p>
              </w:tc>
              <w:tc>
                <w:tcPr>
                  <w:tcW w:w="2749" w:type="dxa"/>
                  <w:vMerge/>
                  <w:shd w:val="clear" w:color="auto" w:fill="FFFFFF" w:themeFill="background1"/>
                </w:tcPr>
                <w:p w:rsidR="00C948E1" w:rsidRPr="00C948E1" w:rsidRDefault="00C948E1" w:rsidP="00C948E1"/>
              </w:tc>
            </w:tr>
            <w:tr w:rsidR="00C948E1">
              <w:tc>
                <w:tcPr>
                  <w:tcW w:w="2014" w:type="dxa"/>
                  <w:shd w:val="clear" w:color="auto" w:fill="FFFFFF" w:themeFill="background1"/>
                </w:tcPr>
                <w:p w:rsidR="00C948E1" w:rsidRPr="00C948E1" w:rsidRDefault="00C948E1" w:rsidP="00C948E1">
                  <w:r>
                    <w:t xml:space="preserve">Social </w:t>
                  </w:r>
                </w:p>
              </w:tc>
              <w:tc>
                <w:tcPr>
                  <w:tcW w:w="2748" w:type="dxa"/>
                  <w:shd w:val="clear" w:color="auto" w:fill="FFFFFF" w:themeFill="background1"/>
                </w:tcPr>
                <w:p w:rsidR="00C948E1" w:rsidRDefault="00C948E1" w:rsidP="00C948E1">
                  <w:r>
                    <w:t>Commuting and other users</w:t>
                  </w:r>
                </w:p>
                <w:p w:rsidR="00C948E1" w:rsidRDefault="00C948E1" w:rsidP="00C948E1">
                  <w:r>
                    <w:t>Accidents</w:t>
                  </w:r>
                </w:p>
                <w:p w:rsidR="00C948E1" w:rsidRPr="00C948E1" w:rsidRDefault="00C948E1" w:rsidP="00C948E1">
                  <w:r>
                    <w:t>Physical activity and journey quality</w:t>
                  </w:r>
                </w:p>
              </w:tc>
              <w:tc>
                <w:tcPr>
                  <w:tcW w:w="2748" w:type="dxa"/>
                  <w:shd w:val="clear" w:color="auto" w:fill="FFFFFF" w:themeFill="background1"/>
                </w:tcPr>
                <w:p w:rsidR="00C948E1" w:rsidRPr="00C948E1" w:rsidRDefault="00C948E1" w:rsidP="00C948E1">
                  <w:r>
                    <w:t>Reliability option and non-use values</w:t>
                  </w:r>
                </w:p>
              </w:tc>
              <w:tc>
                <w:tcPr>
                  <w:tcW w:w="2749" w:type="dxa"/>
                  <w:vMerge/>
                  <w:shd w:val="clear" w:color="auto" w:fill="FFFFFF" w:themeFill="background1"/>
                </w:tcPr>
                <w:p w:rsidR="00C948E1" w:rsidRPr="00C948E1" w:rsidRDefault="00C948E1" w:rsidP="00C948E1"/>
              </w:tc>
            </w:tr>
            <w:tr w:rsidR="00C948E1">
              <w:tc>
                <w:tcPr>
                  <w:tcW w:w="2014" w:type="dxa"/>
                  <w:shd w:val="clear" w:color="auto" w:fill="FFFFFF" w:themeFill="background1"/>
                </w:tcPr>
                <w:p w:rsidR="00C948E1" w:rsidRPr="00C948E1" w:rsidRDefault="00C948E1" w:rsidP="00C948E1">
                  <w:r>
                    <w:t>Public accounts</w:t>
                  </w:r>
                </w:p>
              </w:tc>
              <w:tc>
                <w:tcPr>
                  <w:tcW w:w="2748" w:type="dxa"/>
                  <w:shd w:val="clear" w:color="auto" w:fill="FFFFFF" w:themeFill="background1"/>
                </w:tcPr>
                <w:p w:rsidR="00C948E1" w:rsidRDefault="00C948E1" w:rsidP="00C948E1">
                  <w:r>
                    <w:t>Cost to broad transport budget</w:t>
                  </w:r>
                </w:p>
                <w:p w:rsidR="00C948E1" w:rsidRPr="00C948E1" w:rsidRDefault="00C948E1" w:rsidP="00C948E1">
                  <w:r>
                    <w:t>Indirect tax</w:t>
                  </w:r>
                </w:p>
              </w:tc>
              <w:tc>
                <w:tcPr>
                  <w:tcW w:w="2748" w:type="dxa"/>
                  <w:shd w:val="clear" w:color="auto" w:fill="FFFFFF" w:themeFill="background1"/>
                </w:tcPr>
                <w:p w:rsidR="00C948E1" w:rsidRPr="00C948E1" w:rsidRDefault="00C948E1" w:rsidP="00C948E1"/>
              </w:tc>
              <w:tc>
                <w:tcPr>
                  <w:tcW w:w="2749" w:type="dxa"/>
                  <w:shd w:val="clear" w:color="auto" w:fill="FFFFFF" w:themeFill="background1"/>
                </w:tcPr>
                <w:p w:rsidR="00C948E1" w:rsidRPr="00C948E1" w:rsidRDefault="00C948E1" w:rsidP="00C948E1"/>
              </w:tc>
            </w:tr>
          </w:tbl>
          <w:p w:rsidR="00C948E1" w:rsidRPr="006E5B68" w:rsidRDefault="00C948E1" w:rsidP="00C948E1"/>
        </w:tc>
      </w:tr>
      <w:tr w:rsidR="00C948E1" w:rsidTr="00AD24D5">
        <w:tc>
          <w:tcPr>
            <w:tcW w:w="10348" w:type="dxa"/>
            <w:gridSpan w:val="2"/>
            <w:shd w:val="clear" w:color="auto" w:fill="FFC000"/>
          </w:tcPr>
          <w:p w:rsidR="00C948E1" w:rsidRDefault="00C948E1" w:rsidP="00C948E1">
            <w:pPr>
              <w:pStyle w:val="ListParagraph"/>
              <w:numPr>
                <w:ilvl w:val="1"/>
                <w:numId w:val="1"/>
              </w:numPr>
              <w:ind w:left="601" w:hanging="567"/>
              <w:rPr>
                <w:b/>
                <w:color w:val="FFFFFF" w:themeColor="background1"/>
              </w:rPr>
            </w:pPr>
            <w:r>
              <w:rPr>
                <w:b/>
                <w:color w:val="FFFFFF" w:themeColor="background1"/>
              </w:rPr>
              <w:t>Transport value for money statement</w:t>
            </w:r>
            <w:r w:rsidR="003B57EE">
              <w:rPr>
                <w:b/>
                <w:color w:val="FFFFFF" w:themeColor="background1"/>
              </w:rPr>
              <w:t xml:space="preserve"> – </w:t>
            </w:r>
            <w:r w:rsidR="003B57EE">
              <w:rPr>
                <w:i/>
                <w:color w:val="FFFFFF" w:themeColor="background1"/>
              </w:rPr>
              <w:t>See guidance</w:t>
            </w:r>
          </w:p>
          <w:p w:rsidR="00C948E1" w:rsidRPr="00C948E1" w:rsidRDefault="00C948E1" w:rsidP="00C948E1">
            <w:pPr>
              <w:rPr>
                <w:b/>
              </w:rPr>
            </w:pPr>
          </w:p>
          <w:tbl>
            <w:tblPr>
              <w:tblStyle w:val="TableGrid"/>
              <w:tblW w:w="0" w:type="auto"/>
              <w:tblLook w:val="04A0"/>
            </w:tblPr>
            <w:tblGrid>
              <w:gridCol w:w="2297"/>
              <w:gridCol w:w="7962"/>
            </w:tblGrid>
            <w:tr w:rsidR="00C948E1" w:rsidRPr="00C948E1">
              <w:tc>
                <w:tcPr>
                  <w:tcW w:w="2297" w:type="dxa"/>
                  <w:shd w:val="clear" w:color="auto" w:fill="FFFFFF" w:themeFill="background1"/>
                </w:tcPr>
                <w:p w:rsidR="00C948E1" w:rsidRPr="00C948E1" w:rsidRDefault="00C948E1" w:rsidP="00C948E1"/>
              </w:tc>
              <w:tc>
                <w:tcPr>
                  <w:tcW w:w="7962" w:type="dxa"/>
                  <w:shd w:val="clear" w:color="auto" w:fill="FFFFFF" w:themeFill="background1"/>
                </w:tcPr>
                <w:p w:rsidR="00C948E1" w:rsidRPr="00C948E1" w:rsidRDefault="00C948E1" w:rsidP="00C948E1">
                  <w:pPr>
                    <w:rPr>
                      <w:b/>
                    </w:rPr>
                  </w:pPr>
                  <w:r w:rsidRPr="00C948E1">
                    <w:rPr>
                      <w:b/>
                    </w:rPr>
                    <w:t xml:space="preserve">Present </w:t>
                  </w:r>
                  <w:r>
                    <w:rPr>
                      <w:b/>
                    </w:rPr>
                    <w:t>values  in 2010 prices and values</w:t>
                  </w:r>
                </w:p>
              </w:tc>
            </w:tr>
            <w:tr w:rsidR="00C948E1" w:rsidRPr="00C948E1">
              <w:tc>
                <w:tcPr>
                  <w:tcW w:w="2297" w:type="dxa"/>
                  <w:shd w:val="clear" w:color="auto" w:fill="FFFFFF" w:themeFill="background1"/>
                </w:tcPr>
                <w:p w:rsidR="00C948E1" w:rsidRPr="00C948E1" w:rsidRDefault="00C948E1" w:rsidP="00C948E1">
                  <w:r>
                    <w:t>PVB</w:t>
                  </w:r>
                </w:p>
              </w:tc>
              <w:tc>
                <w:tcPr>
                  <w:tcW w:w="7962" w:type="dxa"/>
                  <w:shd w:val="clear" w:color="auto" w:fill="FFFFFF" w:themeFill="background1"/>
                </w:tcPr>
                <w:p w:rsidR="00C948E1" w:rsidRDefault="00C948E1" w:rsidP="00C948E1"/>
                <w:p w:rsidR="00EE0C93" w:rsidRPr="00C948E1" w:rsidRDefault="00EE0C93" w:rsidP="00C948E1"/>
              </w:tc>
            </w:tr>
            <w:tr w:rsidR="00C948E1" w:rsidRPr="00C948E1">
              <w:tc>
                <w:tcPr>
                  <w:tcW w:w="2297" w:type="dxa"/>
                  <w:shd w:val="clear" w:color="auto" w:fill="FFFFFF" w:themeFill="background1"/>
                </w:tcPr>
                <w:p w:rsidR="00C948E1" w:rsidRPr="00C948E1" w:rsidRDefault="00C948E1" w:rsidP="00C948E1">
                  <w:r>
                    <w:t>PVC</w:t>
                  </w:r>
                </w:p>
              </w:tc>
              <w:tc>
                <w:tcPr>
                  <w:tcW w:w="7962" w:type="dxa"/>
                  <w:shd w:val="clear" w:color="auto" w:fill="FFFFFF" w:themeFill="background1"/>
                </w:tcPr>
                <w:p w:rsidR="00C948E1" w:rsidRDefault="00C948E1" w:rsidP="00C948E1"/>
                <w:p w:rsidR="00EE0C93" w:rsidRPr="00C948E1" w:rsidRDefault="00EE0C93" w:rsidP="00C948E1"/>
              </w:tc>
            </w:tr>
            <w:tr w:rsidR="00C948E1" w:rsidRPr="00C948E1">
              <w:tc>
                <w:tcPr>
                  <w:tcW w:w="2297" w:type="dxa"/>
                  <w:shd w:val="clear" w:color="auto" w:fill="FFFFFF" w:themeFill="background1"/>
                </w:tcPr>
                <w:p w:rsidR="00C948E1" w:rsidRPr="00C948E1" w:rsidRDefault="00C948E1" w:rsidP="00C948E1">
                  <w:r>
                    <w:t>NPV = PVB – PVC</w:t>
                  </w:r>
                </w:p>
              </w:tc>
              <w:tc>
                <w:tcPr>
                  <w:tcW w:w="7962" w:type="dxa"/>
                  <w:shd w:val="clear" w:color="auto" w:fill="FFFFFF" w:themeFill="background1"/>
                </w:tcPr>
                <w:p w:rsidR="00C948E1" w:rsidRDefault="00C948E1" w:rsidP="00C948E1"/>
                <w:p w:rsidR="00EE0C93" w:rsidRPr="00C948E1" w:rsidRDefault="00EE0C93" w:rsidP="00C948E1"/>
              </w:tc>
            </w:tr>
            <w:tr w:rsidR="00C948E1" w:rsidRPr="00C948E1">
              <w:tc>
                <w:tcPr>
                  <w:tcW w:w="2297" w:type="dxa"/>
                  <w:shd w:val="clear" w:color="auto" w:fill="FFFFFF" w:themeFill="background1"/>
                </w:tcPr>
                <w:p w:rsidR="00C948E1" w:rsidRPr="00C948E1" w:rsidRDefault="00C948E1" w:rsidP="00C948E1">
                  <w:r>
                    <w:lastRenderedPageBreak/>
                    <w:t>Initial BCR = PVB/PVC</w:t>
                  </w:r>
                </w:p>
              </w:tc>
              <w:tc>
                <w:tcPr>
                  <w:tcW w:w="7962" w:type="dxa"/>
                  <w:shd w:val="clear" w:color="auto" w:fill="FFFFFF" w:themeFill="background1"/>
                </w:tcPr>
                <w:p w:rsidR="00C948E1" w:rsidRDefault="00C948E1" w:rsidP="00C948E1"/>
                <w:p w:rsidR="00EE0C93" w:rsidRPr="00C948E1" w:rsidRDefault="00EE0C93" w:rsidP="00C948E1"/>
              </w:tc>
            </w:tr>
          </w:tbl>
          <w:p w:rsidR="00C948E1" w:rsidRPr="006E5B68" w:rsidRDefault="00C948E1" w:rsidP="00A04356">
            <w:pPr>
              <w:ind w:left="33" w:hanging="33"/>
            </w:pPr>
          </w:p>
        </w:tc>
      </w:tr>
      <w:tr w:rsidR="003B57EE" w:rsidTr="00AD24D5">
        <w:tc>
          <w:tcPr>
            <w:tcW w:w="10348" w:type="dxa"/>
            <w:gridSpan w:val="2"/>
            <w:shd w:val="clear" w:color="auto" w:fill="FFC000"/>
          </w:tcPr>
          <w:p w:rsidR="003B57EE" w:rsidRPr="003F6104" w:rsidRDefault="003B57EE" w:rsidP="00B34F20">
            <w:pPr>
              <w:pStyle w:val="ListParagraph"/>
              <w:numPr>
                <w:ilvl w:val="1"/>
                <w:numId w:val="1"/>
              </w:numPr>
              <w:ind w:left="601" w:hanging="567"/>
              <w:rPr>
                <w:b/>
                <w:color w:val="FFFFFF" w:themeColor="background1"/>
              </w:rPr>
            </w:pPr>
            <w:r>
              <w:rPr>
                <w:b/>
                <w:color w:val="FFFFFF" w:themeColor="background1"/>
              </w:rPr>
              <w:lastRenderedPageBreak/>
              <w:t xml:space="preserve">Value for money summary  - </w:t>
            </w:r>
            <w:r>
              <w:rPr>
                <w:i/>
                <w:color w:val="FFFFFF" w:themeColor="background1"/>
              </w:rPr>
              <w:t>worked example</w:t>
            </w:r>
          </w:p>
          <w:p w:rsidR="003F6104" w:rsidRDefault="003F6104" w:rsidP="003F6104">
            <w:pPr>
              <w:rPr>
                <w:b/>
                <w:color w:val="FFFFFF" w:themeColor="background1"/>
              </w:rPr>
            </w:pPr>
          </w:p>
          <w:p w:rsidR="003F6104" w:rsidRPr="003F6104" w:rsidRDefault="003F6104" w:rsidP="003F6104">
            <w:pPr>
              <w:rPr>
                <w:rFonts w:cs="Arial"/>
                <w:i/>
                <w:color w:val="FFFFFF" w:themeColor="background1"/>
              </w:rPr>
            </w:pPr>
            <w:r w:rsidRPr="003F6104">
              <w:rPr>
                <w:rFonts w:cs="Arial"/>
                <w:i/>
                <w:color w:val="FFFFFF" w:themeColor="background1"/>
              </w:rPr>
              <w:t xml:space="preserve">Please identify the category of VfM based on Benefit Cost Ratio (BCR) of the scheme using monetised impacts in line with WebTAG guidance. </w:t>
            </w:r>
          </w:p>
          <w:p w:rsidR="003F6104" w:rsidRPr="003F6104" w:rsidRDefault="003F6104" w:rsidP="003F6104">
            <w:pPr>
              <w:rPr>
                <w:rFonts w:cs="Arial"/>
                <w:i/>
                <w:color w:val="FFFFFF" w:themeColor="background1"/>
              </w:rPr>
            </w:pPr>
          </w:p>
          <w:p w:rsidR="003F6104" w:rsidRPr="003F6104" w:rsidRDefault="003F6104" w:rsidP="003F6104">
            <w:pPr>
              <w:rPr>
                <w:rFonts w:cs="Arial"/>
                <w:i/>
                <w:color w:val="FFFFFF" w:themeColor="background1"/>
              </w:rPr>
            </w:pPr>
            <w:r w:rsidRPr="003F6104">
              <w:rPr>
                <w:rFonts w:cs="Arial"/>
                <w:i/>
                <w:color w:val="FFFFFF" w:themeColor="background1"/>
              </w:rPr>
              <w:t>VfM assessment should take into account qualitative and quantitative impacts in 2 stages:</w:t>
            </w:r>
          </w:p>
          <w:p w:rsidR="003F6104" w:rsidRPr="003F6104" w:rsidRDefault="003F6104" w:rsidP="003F6104">
            <w:pPr>
              <w:numPr>
                <w:ilvl w:val="0"/>
                <w:numId w:val="12"/>
              </w:numPr>
              <w:rPr>
                <w:rFonts w:cs="Arial"/>
                <w:i/>
                <w:color w:val="FFFFFF" w:themeColor="background1"/>
              </w:rPr>
            </w:pPr>
            <w:r w:rsidRPr="003F6104">
              <w:rPr>
                <w:rFonts w:cs="Arial"/>
                <w:i/>
                <w:color w:val="FFFFFF" w:themeColor="background1"/>
              </w:rPr>
              <w:t xml:space="preserve">Construct ‘adjusted’ BCR </w:t>
            </w:r>
          </w:p>
          <w:p w:rsidR="003F6104" w:rsidRPr="003F6104" w:rsidRDefault="003F6104" w:rsidP="003F6104">
            <w:pPr>
              <w:numPr>
                <w:ilvl w:val="0"/>
                <w:numId w:val="12"/>
              </w:numPr>
              <w:rPr>
                <w:rFonts w:cs="Arial"/>
                <w:i/>
                <w:color w:val="FFFFFF" w:themeColor="background1"/>
              </w:rPr>
            </w:pPr>
            <w:r w:rsidRPr="003F6104">
              <w:rPr>
                <w:rFonts w:cs="Arial"/>
                <w:i/>
                <w:color w:val="FFFFFF" w:themeColor="background1"/>
              </w:rPr>
              <w:t>Take into account all impacts that could not be monetised</w:t>
            </w:r>
          </w:p>
          <w:p w:rsidR="003F6104" w:rsidRPr="003F6104" w:rsidRDefault="003F6104" w:rsidP="003F6104">
            <w:pPr>
              <w:rPr>
                <w:rFonts w:cs="Arial"/>
                <w:i/>
                <w:color w:val="FFFFFF" w:themeColor="background1"/>
              </w:rPr>
            </w:pPr>
          </w:p>
          <w:p w:rsidR="003F6104" w:rsidRPr="003F6104" w:rsidRDefault="003F6104" w:rsidP="003F6104">
            <w:pPr>
              <w:rPr>
                <w:rFonts w:cs="Arial"/>
                <w:i/>
                <w:color w:val="FFFFFF" w:themeColor="background1"/>
              </w:rPr>
            </w:pPr>
            <w:r w:rsidRPr="003F6104">
              <w:rPr>
                <w:rFonts w:cs="Arial"/>
                <w:i/>
                <w:color w:val="FFFFFF" w:themeColor="background1"/>
              </w:rPr>
              <w:t>VfM statement report should include:</w:t>
            </w:r>
          </w:p>
          <w:p w:rsidR="003F6104" w:rsidRPr="003F6104" w:rsidRDefault="003F6104" w:rsidP="003F6104">
            <w:pPr>
              <w:numPr>
                <w:ilvl w:val="0"/>
                <w:numId w:val="13"/>
              </w:numPr>
              <w:rPr>
                <w:rFonts w:cs="Arial"/>
                <w:i/>
                <w:color w:val="FFFFFF" w:themeColor="background1"/>
              </w:rPr>
            </w:pPr>
            <w:r w:rsidRPr="003F6104">
              <w:rPr>
                <w:rFonts w:cs="Arial"/>
                <w:i/>
                <w:color w:val="FFFFFF" w:themeColor="background1"/>
              </w:rPr>
              <w:t>VfM category</w:t>
            </w:r>
          </w:p>
          <w:p w:rsidR="003F6104" w:rsidRPr="003F6104" w:rsidRDefault="003F6104" w:rsidP="003F6104">
            <w:pPr>
              <w:numPr>
                <w:ilvl w:val="0"/>
                <w:numId w:val="13"/>
              </w:numPr>
              <w:rPr>
                <w:rFonts w:cs="Arial"/>
                <w:i/>
                <w:color w:val="FFFFFF" w:themeColor="background1"/>
              </w:rPr>
            </w:pPr>
            <w:r w:rsidRPr="003F6104">
              <w:rPr>
                <w:rFonts w:cs="Arial"/>
                <w:i/>
                <w:color w:val="FFFFFF" w:themeColor="background1"/>
              </w:rPr>
              <w:t>PV of benefits, costs and range around BCR</w:t>
            </w:r>
          </w:p>
          <w:p w:rsidR="003F6104" w:rsidRPr="003F6104" w:rsidRDefault="003F6104" w:rsidP="003F6104">
            <w:pPr>
              <w:numPr>
                <w:ilvl w:val="0"/>
                <w:numId w:val="13"/>
              </w:numPr>
              <w:rPr>
                <w:rFonts w:cs="Arial"/>
                <w:i/>
                <w:color w:val="FFFFFF" w:themeColor="background1"/>
              </w:rPr>
            </w:pPr>
            <w:r w:rsidRPr="003F6104">
              <w:rPr>
                <w:rFonts w:cs="Arial"/>
                <w:i/>
                <w:color w:val="FFFFFF" w:themeColor="background1"/>
              </w:rPr>
              <w:t>Summary of assessed benefits and costs, including assumptions that influenced the results</w:t>
            </w:r>
          </w:p>
          <w:p w:rsidR="003F6104" w:rsidRPr="003F6104" w:rsidRDefault="003F6104" w:rsidP="003F6104">
            <w:pPr>
              <w:numPr>
                <w:ilvl w:val="0"/>
                <w:numId w:val="13"/>
              </w:numPr>
              <w:rPr>
                <w:rFonts w:cs="Arial"/>
                <w:i/>
                <w:color w:val="FFFFFF" w:themeColor="background1"/>
              </w:rPr>
            </w:pPr>
            <w:r w:rsidRPr="003F6104">
              <w:rPr>
                <w:rFonts w:cs="Arial"/>
                <w:i/>
                <w:color w:val="FFFFFF" w:themeColor="background1"/>
              </w:rPr>
              <w:t>Assessment of non-monetised impact</w:t>
            </w:r>
          </w:p>
          <w:p w:rsidR="003F6104" w:rsidRPr="003F6104" w:rsidRDefault="003F6104" w:rsidP="003F6104">
            <w:pPr>
              <w:numPr>
                <w:ilvl w:val="0"/>
                <w:numId w:val="13"/>
              </w:numPr>
              <w:rPr>
                <w:rFonts w:cs="Arial"/>
                <w:i/>
                <w:color w:val="FFFFFF" w:themeColor="background1"/>
              </w:rPr>
            </w:pPr>
            <w:r w:rsidRPr="003F6104">
              <w:rPr>
                <w:rFonts w:cs="Arial"/>
                <w:i/>
                <w:color w:val="FFFFFF" w:themeColor="background1"/>
              </w:rPr>
              <w:t>Key risks, sensitivities and uncertainties</w:t>
            </w:r>
          </w:p>
          <w:p w:rsidR="003F6104" w:rsidRDefault="003F6104" w:rsidP="003F6104">
            <w:pPr>
              <w:rPr>
                <w:b/>
                <w:color w:val="FFFFFF" w:themeColor="background1"/>
              </w:rPr>
            </w:pPr>
          </w:p>
          <w:p w:rsidR="003F6104" w:rsidRPr="003F6104" w:rsidRDefault="003F6104" w:rsidP="003F6104">
            <w:pPr>
              <w:rPr>
                <w:b/>
                <w:color w:val="FFFFFF" w:themeColor="background1"/>
              </w:rPr>
            </w:pPr>
          </w:p>
          <w:p w:rsidR="003B57EE" w:rsidRDefault="003B57EE" w:rsidP="00A04356">
            <w:pPr>
              <w:ind w:left="33" w:hanging="33"/>
              <w:rPr>
                <w:i/>
              </w:rPr>
            </w:pPr>
          </w:p>
          <w:tbl>
            <w:tblPr>
              <w:tblStyle w:val="TableGrid"/>
              <w:tblW w:w="0" w:type="auto"/>
              <w:tblLook w:val="04A0"/>
            </w:tblPr>
            <w:tblGrid>
              <w:gridCol w:w="1663"/>
              <w:gridCol w:w="2760"/>
              <w:gridCol w:w="5841"/>
            </w:tblGrid>
            <w:tr w:rsidR="003B57EE" w:rsidRPr="00C948E1">
              <w:tc>
                <w:tcPr>
                  <w:tcW w:w="1663" w:type="dxa"/>
                  <w:shd w:val="clear" w:color="auto" w:fill="FFFFFF" w:themeFill="background1"/>
                </w:tcPr>
                <w:p w:rsidR="003B57EE" w:rsidRPr="00C948E1" w:rsidRDefault="003B57EE" w:rsidP="009167BF"/>
              </w:tc>
              <w:tc>
                <w:tcPr>
                  <w:tcW w:w="2760" w:type="dxa"/>
                  <w:shd w:val="clear" w:color="auto" w:fill="FFFFFF" w:themeFill="background1"/>
                </w:tcPr>
                <w:p w:rsidR="003B57EE" w:rsidRPr="00C948E1" w:rsidRDefault="003B57EE" w:rsidP="009167BF">
                  <w:pPr>
                    <w:rPr>
                      <w:b/>
                    </w:rPr>
                  </w:pPr>
                  <w:r>
                    <w:rPr>
                      <w:b/>
                    </w:rPr>
                    <w:t>Assessment</w:t>
                  </w:r>
                </w:p>
              </w:tc>
              <w:tc>
                <w:tcPr>
                  <w:tcW w:w="5841" w:type="dxa"/>
                  <w:shd w:val="clear" w:color="auto" w:fill="FFFFFF" w:themeFill="background1"/>
                </w:tcPr>
                <w:p w:rsidR="003B57EE" w:rsidRPr="00C948E1" w:rsidRDefault="003B57EE" w:rsidP="009167BF">
                  <w:pPr>
                    <w:rPr>
                      <w:b/>
                    </w:rPr>
                  </w:pPr>
                  <w:r>
                    <w:rPr>
                      <w:b/>
                    </w:rPr>
                    <w:t>Detail</w:t>
                  </w:r>
                </w:p>
              </w:tc>
            </w:tr>
            <w:tr w:rsidR="003B57EE" w:rsidRPr="00C948E1">
              <w:tc>
                <w:tcPr>
                  <w:tcW w:w="1663" w:type="dxa"/>
                  <w:shd w:val="clear" w:color="auto" w:fill="FFFFFF" w:themeFill="background1"/>
                </w:tcPr>
                <w:p w:rsidR="003B57EE" w:rsidRPr="00C948E1" w:rsidRDefault="003B57EE" w:rsidP="009167BF">
                  <w:r>
                    <w:t>Initial BCR</w:t>
                  </w:r>
                </w:p>
              </w:tc>
              <w:tc>
                <w:tcPr>
                  <w:tcW w:w="2760" w:type="dxa"/>
                  <w:shd w:val="clear" w:color="auto" w:fill="FFFFFF" w:themeFill="background1"/>
                </w:tcPr>
                <w:p w:rsidR="003B57EE" w:rsidRPr="00C948E1" w:rsidRDefault="003B57EE" w:rsidP="009167BF">
                  <w:r>
                    <w:t>1.5 (BCR)</w:t>
                  </w:r>
                </w:p>
              </w:tc>
              <w:tc>
                <w:tcPr>
                  <w:tcW w:w="5841" w:type="dxa"/>
                  <w:shd w:val="clear" w:color="auto" w:fill="FFFFFF" w:themeFill="background1"/>
                </w:tcPr>
                <w:p w:rsidR="003B57EE" w:rsidRPr="00C948E1" w:rsidRDefault="003B57EE" w:rsidP="009167BF">
                  <w:r>
                    <w:t>Estimated using WebTAG guidance</w:t>
                  </w:r>
                </w:p>
              </w:tc>
            </w:tr>
            <w:tr w:rsidR="003B57EE" w:rsidRPr="00C948E1">
              <w:tc>
                <w:tcPr>
                  <w:tcW w:w="1663" w:type="dxa"/>
                  <w:shd w:val="clear" w:color="auto" w:fill="FFFFFF" w:themeFill="background1"/>
                </w:tcPr>
                <w:p w:rsidR="003B57EE" w:rsidRPr="00C948E1" w:rsidRDefault="003B57EE" w:rsidP="009167BF">
                  <w:r>
                    <w:t>Adjusted BCR</w:t>
                  </w:r>
                </w:p>
              </w:tc>
              <w:tc>
                <w:tcPr>
                  <w:tcW w:w="2760" w:type="dxa"/>
                  <w:shd w:val="clear" w:color="auto" w:fill="FFFFFF" w:themeFill="background1"/>
                </w:tcPr>
                <w:p w:rsidR="003B57EE" w:rsidRPr="00C948E1" w:rsidRDefault="003B57EE" w:rsidP="009167BF">
                  <w:r>
                    <w:t>1.9 (BCR)</w:t>
                  </w:r>
                </w:p>
              </w:tc>
              <w:tc>
                <w:tcPr>
                  <w:tcW w:w="5841" w:type="dxa"/>
                  <w:shd w:val="clear" w:color="auto" w:fill="FFFFFF" w:themeFill="background1"/>
                </w:tcPr>
                <w:p w:rsidR="003B57EE" w:rsidRPr="00C948E1" w:rsidRDefault="003B57EE" w:rsidP="009167BF">
                  <w:r>
                    <w:t>Includes estimates for reliability impacts</w:t>
                  </w:r>
                </w:p>
              </w:tc>
            </w:tr>
            <w:tr w:rsidR="003B57EE" w:rsidRPr="00C948E1">
              <w:tc>
                <w:tcPr>
                  <w:tcW w:w="1663" w:type="dxa"/>
                  <w:shd w:val="clear" w:color="auto" w:fill="FFFFFF" w:themeFill="background1"/>
                </w:tcPr>
                <w:p w:rsidR="003B57EE" w:rsidRPr="00C948E1" w:rsidRDefault="003B57EE" w:rsidP="009167BF">
                  <w:r>
                    <w:t>Qualitative Assessment</w:t>
                  </w:r>
                </w:p>
              </w:tc>
              <w:tc>
                <w:tcPr>
                  <w:tcW w:w="2760" w:type="dxa"/>
                  <w:shd w:val="clear" w:color="auto" w:fill="FFFFFF" w:themeFill="background1"/>
                </w:tcPr>
                <w:p w:rsidR="003B57EE" w:rsidRPr="00C948E1" w:rsidRDefault="003B57EE" w:rsidP="009167BF">
                  <w:r>
                    <w:t>Largely beneficial</w:t>
                  </w:r>
                </w:p>
              </w:tc>
              <w:tc>
                <w:tcPr>
                  <w:tcW w:w="5841" w:type="dxa"/>
                  <w:shd w:val="clear" w:color="auto" w:fill="FFFFFF" w:themeFill="background1"/>
                </w:tcPr>
                <w:p w:rsidR="003B57EE" w:rsidRPr="00C948E1" w:rsidRDefault="003B57EE" w:rsidP="009167BF">
                  <w:r>
                    <w:t>There is strong evident of impacts relating to severance and security benefits</w:t>
                  </w:r>
                </w:p>
              </w:tc>
            </w:tr>
            <w:tr w:rsidR="003B57EE" w:rsidRPr="00C948E1">
              <w:tc>
                <w:tcPr>
                  <w:tcW w:w="1663" w:type="dxa"/>
                  <w:shd w:val="clear" w:color="auto" w:fill="FFFFFF" w:themeFill="background1"/>
                </w:tcPr>
                <w:p w:rsidR="003B57EE" w:rsidRPr="00C948E1" w:rsidRDefault="003B57EE" w:rsidP="009167BF">
                  <w:r>
                    <w:t>Key risks, sensitivities</w:t>
                  </w:r>
                </w:p>
              </w:tc>
              <w:tc>
                <w:tcPr>
                  <w:tcW w:w="2760" w:type="dxa"/>
                  <w:shd w:val="clear" w:color="auto" w:fill="FFFFFF" w:themeFill="background1"/>
                </w:tcPr>
                <w:p w:rsidR="003B57EE" w:rsidRPr="00C948E1" w:rsidRDefault="003B57EE" w:rsidP="009167BF">
                  <w:r>
                    <w:t>Risks reflected in VfM conclusion</w:t>
                  </w:r>
                </w:p>
              </w:tc>
              <w:tc>
                <w:tcPr>
                  <w:tcW w:w="5841" w:type="dxa"/>
                  <w:shd w:val="clear" w:color="auto" w:fill="FFFFFF" w:themeFill="background1"/>
                </w:tcPr>
                <w:p w:rsidR="003B57EE" w:rsidRPr="00C948E1" w:rsidRDefault="003B57EE" w:rsidP="009167BF">
                  <w:r>
                    <w:t>Cost estimates are not final. Higher optimism bias rate applied to account for uncertainty in cost estimates</w:t>
                  </w:r>
                </w:p>
              </w:tc>
            </w:tr>
            <w:tr w:rsidR="003B57EE" w:rsidRPr="00C948E1">
              <w:tc>
                <w:tcPr>
                  <w:tcW w:w="1663" w:type="dxa"/>
                  <w:shd w:val="clear" w:color="auto" w:fill="FFFFFF" w:themeFill="background1"/>
                </w:tcPr>
                <w:p w:rsidR="003B57EE" w:rsidRDefault="003B57EE" w:rsidP="009167BF">
                  <w:r>
                    <w:t>VfM category</w:t>
                  </w:r>
                </w:p>
              </w:tc>
              <w:tc>
                <w:tcPr>
                  <w:tcW w:w="2760" w:type="dxa"/>
                  <w:shd w:val="clear" w:color="auto" w:fill="FFFFFF" w:themeFill="background1"/>
                </w:tcPr>
                <w:p w:rsidR="003B57EE" w:rsidRDefault="003B57EE" w:rsidP="009167BF">
                  <w:r>
                    <w:t>Medium/high</w:t>
                  </w:r>
                </w:p>
              </w:tc>
              <w:tc>
                <w:tcPr>
                  <w:tcW w:w="5841" w:type="dxa"/>
                  <w:shd w:val="clear" w:color="auto" w:fill="FFFFFF" w:themeFill="background1"/>
                </w:tcPr>
                <w:p w:rsidR="003B57EE" w:rsidRPr="00C948E1" w:rsidRDefault="003B57EE" w:rsidP="009167BF">
                  <w:r>
                    <w:t>Qualitative assessment suggests BCR may be high. Medium/high value for money is judged appropriate as it is not possible to distinguish between the two categories with any certainty.</w:t>
                  </w:r>
                </w:p>
              </w:tc>
            </w:tr>
          </w:tbl>
          <w:p w:rsidR="003B57EE" w:rsidRDefault="003B57EE" w:rsidP="00A04356">
            <w:pPr>
              <w:ind w:left="33" w:hanging="33"/>
              <w:rPr>
                <w:i/>
              </w:rPr>
            </w:pPr>
          </w:p>
          <w:p w:rsidR="003B57EE" w:rsidRPr="003B57EE" w:rsidRDefault="003B57EE" w:rsidP="00A04356">
            <w:pPr>
              <w:ind w:left="33" w:hanging="33"/>
              <w:rPr>
                <w:i/>
              </w:rPr>
            </w:pPr>
          </w:p>
        </w:tc>
      </w:tr>
    </w:tbl>
    <w:p w:rsidR="003F6104" w:rsidRDefault="003F6104" w:rsidP="008C2F9C">
      <w:pPr>
        <w:spacing w:after="0" w:line="240" w:lineRule="auto"/>
        <w:ind w:left="709" w:hanging="567"/>
        <w:rPr>
          <w:b/>
        </w:rPr>
      </w:pPr>
    </w:p>
    <w:p w:rsidR="003F6104" w:rsidRDefault="003F6104">
      <w:pPr>
        <w:rPr>
          <w:b/>
        </w:rPr>
      </w:pPr>
      <w:r>
        <w:rPr>
          <w:b/>
        </w:rPr>
        <w:br w:type="page"/>
      </w:r>
    </w:p>
    <w:p w:rsidR="00306FE5" w:rsidRDefault="00306FE5" w:rsidP="008C2F9C">
      <w:pPr>
        <w:spacing w:after="0" w:line="240" w:lineRule="auto"/>
        <w:ind w:left="709" w:hanging="567"/>
        <w:rPr>
          <w:b/>
        </w:rPr>
      </w:pPr>
    </w:p>
    <w:tbl>
      <w:tblPr>
        <w:tblStyle w:val="TableGrid"/>
        <w:tblW w:w="0" w:type="auto"/>
        <w:tblInd w:w="108" w:type="dxa"/>
        <w:tblLook w:val="04A0"/>
      </w:tblPr>
      <w:tblGrid>
        <w:gridCol w:w="2671"/>
        <w:gridCol w:w="7677"/>
      </w:tblGrid>
      <w:tr w:rsidR="00B34F20" w:rsidTr="00636BDB">
        <w:tc>
          <w:tcPr>
            <w:tcW w:w="10348" w:type="dxa"/>
            <w:gridSpan w:val="2"/>
            <w:shd w:val="clear" w:color="auto" w:fill="000000" w:themeFill="text1"/>
          </w:tcPr>
          <w:p w:rsidR="00CC3E27" w:rsidRPr="00CC3E27" w:rsidRDefault="00B34F20" w:rsidP="00CC3E27">
            <w:pPr>
              <w:pStyle w:val="ListParagraph"/>
              <w:numPr>
                <w:ilvl w:val="0"/>
                <w:numId w:val="1"/>
              </w:numPr>
              <w:ind w:left="601" w:hanging="567"/>
              <w:rPr>
                <w:b/>
                <w:sz w:val="24"/>
              </w:rPr>
            </w:pPr>
            <w:r>
              <w:rPr>
                <w:b/>
                <w:sz w:val="24"/>
              </w:rPr>
              <w:t>COMMERCIAL</w:t>
            </w:r>
            <w:r w:rsidRPr="006279EC">
              <w:rPr>
                <w:b/>
                <w:sz w:val="24"/>
              </w:rPr>
              <w:t xml:space="preserve"> CASE</w:t>
            </w:r>
          </w:p>
        </w:tc>
      </w:tr>
      <w:tr w:rsidR="00CC3E27" w:rsidTr="00636BDB">
        <w:tc>
          <w:tcPr>
            <w:tcW w:w="10348" w:type="dxa"/>
            <w:gridSpan w:val="2"/>
            <w:shd w:val="clear" w:color="auto" w:fill="auto"/>
          </w:tcPr>
          <w:p w:rsidR="00CC3E27" w:rsidRPr="00CC3E27" w:rsidRDefault="00CC3E27" w:rsidP="00CC3E27">
            <w:pPr>
              <w:rPr>
                <w:rFonts w:eastAsia="Calibri" w:cs="Arial"/>
                <w:i/>
                <w:szCs w:val="24"/>
              </w:rPr>
            </w:pPr>
            <w:r w:rsidRPr="00CC3E27">
              <w:rPr>
                <w:rFonts w:eastAsia="Calibri" w:cs="Arial"/>
                <w:i/>
                <w:szCs w:val="24"/>
              </w:rPr>
              <w:t>The commercial case determines whether the scheme is commercially viable. It presents evidence on risk allocation and transfer, contract timescales, implementation timescales and details of the capability and skills of the team delivering the project.</w:t>
            </w:r>
          </w:p>
          <w:p w:rsidR="00CC3E27" w:rsidRPr="00CC3E27" w:rsidRDefault="00CC3E27" w:rsidP="00CC3E27">
            <w:pPr>
              <w:rPr>
                <w:rFonts w:eastAsia="Calibri" w:cs="Arial"/>
                <w:i/>
                <w:szCs w:val="24"/>
              </w:rPr>
            </w:pPr>
          </w:p>
        </w:tc>
      </w:tr>
      <w:tr w:rsidR="00B34F20" w:rsidTr="00636BDB">
        <w:tc>
          <w:tcPr>
            <w:tcW w:w="2671" w:type="dxa"/>
            <w:shd w:val="clear" w:color="auto" w:fill="4BACC6" w:themeFill="accent5"/>
          </w:tcPr>
          <w:p w:rsidR="00B34F20" w:rsidRPr="00685C6D" w:rsidRDefault="00CC3E27" w:rsidP="00B34F20">
            <w:pPr>
              <w:pStyle w:val="ListParagraph"/>
              <w:numPr>
                <w:ilvl w:val="1"/>
                <w:numId w:val="1"/>
              </w:numPr>
              <w:ind w:left="601" w:hanging="567"/>
              <w:rPr>
                <w:b/>
                <w:color w:val="FFFFFF" w:themeColor="background1"/>
              </w:rPr>
            </w:pPr>
            <w:r>
              <w:rPr>
                <w:b/>
                <w:color w:val="FFFFFF" w:themeColor="background1"/>
              </w:rPr>
              <w:t>Procurement</w:t>
            </w:r>
          </w:p>
        </w:tc>
        <w:tc>
          <w:tcPr>
            <w:tcW w:w="7677" w:type="dxa"/>
          </w:tcPr>
          <w:p w:rsidR="00B34F20" w:rsidRDefault="00CC3E27" w:rsidP="009167BF">
            <w:pPr>
              <w:ind w:left="33"/>
              <w:rPr>
                <w:i/>
              </w:rPr>
            </w:pPr>
            <w:r w:rsidRPr="00B775AA">
              <w:rPr>
                <w:i/>
              </w:rPr>
              <w:t>Please provide details of the procurement route and strategy that will be used for the project. This should include details of the procurement mechanism to be used, details of whether it is an existing framework and contract, the timescales associated with the procurements and details of other routes that were considered for delivery and reasons why these were rejected.</w:t>
            </w:r>
          </w:p>
          <w:p w:rsidR="00311C69" w:rsidRDefault="00311C69" w:rsidP="009167BF">
            <w:pPr>
              <w:ind w:left="33"/>
              <w:rPr>
                <w:i/>
              </w:rPr>
            </w:pPr>
          </w:p>
          <w:p w:rsidR="001E582C" w:rsidRDefault="00B06E0D" w:rsidP="001E582C">
            <w:pPr>
              <w:ind w:left="33"/>
              <w:jc w:val="both"/>
            </w:pPr>
            <w:r>
              <w:t xml:space="preserve">In accordance with the terms of the Development Agreement (DA) that is in place between the Council and HBDL, it will be HBDL’s responsibility to lead and manage the procurement of the proposed phase 1 infrastructure works. This will be undertaken in accordance with the Council’s Contract </w:t>
            </w:r>
            <w:r w:rsidR="002C5EFE">
              <w:t>Proc</w:t>
            </w:r>
            <w:r w:rsidR="00975471">
              <w:t>edures</w:t>
            </w:r>
            <w:r w:rsidR="002C5EFE">
              <w:t xml:space="preserve"> Rules and current 3 year Procurement Strategy. </w:t>
            </w:r>
            <w:r w:rsidR="00BC39F7">
              <w:t xml:space="preserve">HBDL will be expected to undertake a </w:t>
            </w:r>
            <w:r w:rsidR="008A343D">
              <w:t xml:space="preserve">procurement </w:t>
            </w:r>
            <w:r w:rsidR="00636BDB">
              <w:t xml:space="preserve">and contracting </w:t>
            </w:r>
            <w:r w:rsidR="00BC39F7">
              <w:t>procedure which is compliant with Council/EU procurement rules and which demonstrates that it has secured best value from a public sector investment perspective</w:t>
            </w:r>
            <w:r w:rsidR="008A343D">
              <w:t xml:space="preserve"> as per the terms of the DA</w:t>
            </w:r>
            <w:r w:rsidR="00BC39F7">
              <w:t xml:space="preserve">. </w:t>
            </w:r>
            <w:r w:rsidR="001E582C">
              <w:t xml:space="preserve">It is proposed that separate contracts will be tendered </w:t>
            </w:r>
            <w:r w:rsidR="00636BDB">
              <w:t xml:space="preserve">on an open tender basis by HBDL </w:t>
            </w:r>
            <w:r w:rsidR="001E582C">
              <w:t xml:space="preserve">for the different elements of the infrastructure scheme including the phase 1 infrastructure works, the rugby club construction, and the new sports pitches and an appropriate timescale has been allowed for within the </w:t>
            </w:r>
            <w:r w:rsidR="008A343D">
              <w:t xml:space="preserve">appended </w:t>
            </w:r>
            <w:r w:rsidR="001E582C">
              <w:t xml:space="preserve">work programme to reflect this. </w:t>
            </w:r>
            <w:r w:rsidR="00975471">
              <w:t>This could therefore result in the value of the works packages falling below the OJEU threshold</w:t>
            </w:r>
            <w:r w:rsidR="008A343D">
              <w:t xml:space="preserve"> of c.£4.3m for capital works (depending on how the works are packaged up by type)</w:t>
            </w:r>
            <w:r w:rsidR="00975471">
              <w:t xml:space="preserve">. </w:t>
            </w:r>
            <w:r w:rsidR="001E582C">
              <w:t xml:space="preserve">Both HBDL and the Council are highly experienced in the procurement of works of this nature which assists to mitigate against any risks at this stage. </w:t>
            </w:r>
            <w:r w:rsidR="008A343D">
              <w:t xml:space="preserve">HBDL will work closely with the Council’s procurement team to ensure that all appropriate and necessary actions are adhered to. </w:t>
            </w:r>
          </w:p>
          <w:p w:rsidR="008A343D" w:rsidRDefault="008A343D" w:rsidP="001E582C">
            <w:pPr>
              <w:ind w:left="33"/>
              <w:jc w:val="both"/>
            </w:pPr>
          </w:p>
          <w:p w:rsidR="00636BDB" w:rsidRDefault="008A343D" w:rsidP="001E582C">
            <w:pPr>
              <w:ind w:left="33"/>
              <w:jc w:val="both"/>
            </w:pPr>
            <w:r>
              <w:t>A copy of the relevant extracts from the Development Agreement and a copy of the Council’s Contract Procedures Rules can be made available upon request if required.</w:t>
            </w:r>
          </w:p>
          <w:p w:rsidR="00636BDB" w:rsidRDefault="00636BDB" w:rsidP="001E582C">
            <w:pPr>
              <w:ind w:left="33"/>
              <w:jc w:val="both"/>
            </w:pPr>
          </w:p>
          <w:p w:rsidR="00636BDB" w:rsidRPr="00636BDB" w:rsidRDefault="00636BDB" w:rsidP="001E582C">
            <w:pPr>
              <w:ind w:left="33"/>
              <w:jc w:val="both"/>
            </w:pPr>
            <w:r>
              <w:t>The following procurement programme has been developed by independent cost consultants for the various components of the phase 1 scheme:</w:t>
            </w:r>
          </w:p>
          <w:p w:rsidR="00636BDB" w:rsidRPr="00636BDB" w:rsidRDefault="00636BDB" w:rsidP="001E582C">
            <w:pPr>
              <w:ind w:left="33"/>
              <w:jc w:val="both"/>
            </w:pPr>
          </w:p>
          <w:p w:rsidR="00636BDB" w:rsidRPr="00636BDB" w:rsidRDefault="00636BDB" w:rsidP="00636BDB">
            <w:pPr>
              <w:autoSpaceDE w:val="0"/>
              <w:autoSpaceDN w:val="0"/>
              <w:adjustRightInd w:val="0"/>
              <w:rPr>
                <w:rFonts w:ascii="Calibri" w:hAnsi="Calibri" w:cs="Calibri"/>
                <w:b/>
                <w:bCs/>
              </w:rPr>
            </w:pPr>
            <w:r w:rsidRPr="00636BDB">
              <w:rPr>
                <w:rFonts w:ascii="Calibri" w:hAnsi="Calibri" w:cs="Calibri"/>
                <w:b/>
                <w:bCs/>
              </w:rPr>
              <w:t>SPORTS PITCHES 55 days Mon 15/02/16 Fri 29/04/16</w:t>
            </w:r>
          </w:p>
          <w:p w:rsidR="00636BDB" w:rsidRPr="00636BDB" w:rsidRDefault="00636BDB" w:rsidP="00636BDB">
            <w:pPr>
              <w:autoSpaceDE w:val="0"/>
              <w:autoSpaceDN w:val="0"/>
              <w:adjustRightInd w:val="0"/>
              <w:rPr>
                <w:rFonts w:ascii="Calibri" w:hAnsi="Calibri" w:cs="Calibri"/>
              </w:rPr>
            </w:pPr>
            <w:r w:rsidRPr="00636BDB">
              <w:rPr>
                <w:rFonts w:ascii="Calibri" w:hAnsi="Calibri" w:cs="Calibri"/>
              </w:rPr>
              <w:t>PREPARATION OF TENDER DOCUMENTS 2 wks Mon 15/02/16 Fri 26/02/16</w:t>
            </w:r>
          </w:p>
          <w:p w:rsidR="00636BDB" w:rsidRPr="00636BDB" w:rsidRDefault="00636BDB" w:rsidP="00636BDB">
            <w:pPr>
              <w:autoSpaceDE w:val="0"/>
              <w:autoSpaceDN w:val="0"/>
              <w:adjustRightInd w:val="0"/>
              <w:rPr>
                <w:rFonts w:ascii="Calibri" w:hAnsi="Calibri" w:cs="Calibri"/>
              </w:rPr>
            </w:pPr>
            <w:r w:rsidRPr="00636BDB">
              <w:rPr>
                <w:rFonts w:ascii="Calibri" w:hAnsi="Calibri" w:cs="Calibri"/>
              </w:rPr>
              <w:t>ISSUE OF TENDERS 0 days Fri 26/02/16 Fri 26/02/16</w:t>
            </w:r>
          </w:p>
          <w:p w:rsidR="00636BDB" w:rsidRPr="00636BDB" w:rsidRDefault="00636BDB" w:rsidP="00636BDB">
            <w:pPr>
              <w:autoSpaceDE w:val="0"/>
              <w:autoSpaceDN w:val="0"/>
              <w:adjustRightInd w:val="0"/>
              <w:rPr>
                <w:rFonts w:ascii="Calibri" w:hAnsi="Calibri" w:cs="Calibri"/>
              </w:rPr>
            </w:pPr>
            <w:r w:rsidRPr="00636BDB">
              <w:rPr>
                <w:rFonts w:ascii="Calibri" w:hAnsi="Calibri" w:cs="Calibri"/>
              </w:rPr>
              <w:t>TENDER PERIOD 6 wks Mon 29/02/16 Fri 08/04/16</w:t>
            </w:r>
          </w:p>
          <w:p w:rsidR="00636BDB" w:rsidRPr="00636BDB" w:rsidRDefault="00636BDB" w:rsidP="00636BDB">
            <w:pPr>
              <w:autoSpaceDE w:val="0"/>
              <w:autoSpaceDN w:val="0"/>
              <w:adjustRightInd w:val="0"/>
              <w:rPr>
                <w:rFonts w:ascii="Calibri" w:hAnsi="Calibri" w:cs="Calibri"/>
              </w:rPr>
            </w:pPr>
            <w:r w:rsidRPr="00636BDB">
              <w:rPr>
                <w:rFonts w:ascii="Calibri" w:hAnsi="Calibri" w:cs="Calibri"/>
              </w:rPr>
              <w:t>TENDER REVIEW AND APPRAISAL 2 wks Mon 11/04/16 Fri 22/04/16</w:t>
            </w:r>
          </w:p>
          <w:p w:rsidR="00636BDB" w:rsidRPr="00636BDB" w:rsidRDefault="00636BDB" w:rsidP="00636BDB">
            <w:pPr>
              <w:autoSpaceDE w:val="0"/>
              <w:autoSpaceDN w:val="0"/>
              <w:adjustRightInd w:val="0"/>
              <w:rPr>
                <w:rFonts w:ascii="Calibri" w:hAnsi="Calibri" w:cs="Calibri"/>
              </w:rPr>
            </w:pPr>
            <w:r w:rsidRPr="00636BDB">
              <w:rPr>
                <w:rFonts w:ascii="Calibri" w:hAnsi="Calibri" w:cs="Calibri"/>
              </w:rPr>
              <w:t>CONTRACTOR SELECTION 1 wk Mon 25/04/16 Fri 29/04/16</w:t>
            </w:r>
          </w:p>
          <w:p w:rsidR="00636BDB" w:rsidRPr="00636BDB" w:rsidRDefault="00636BDB" w:rsidP="00636BDB">
            <w:pPr>
              <w:autoSpaceDE w:val="0"/>
              <w:autoSpaceDN w:val="0"/>
              <w:adjustRightInd w:val="0"/>
              <w:rPr>
                <w:rFonts w:ascii="Calibri" w:hAnsi="Calibri" w:cs="Calibri"/>
                <w:b/>
                <w:bCs/>
              </w:rPr>
            </w:pPr>
            <w:r w:rsidRPr="00636BDB">
              <w:rPr>
                <w:rFonts w:ascii="Calibri" w:hAnsi="Calibri" w:cs="Calibri"/>
                <w:b/>
                <w:bCs/>
              </w:rPr>
              <w:t>RUGBY CLUB 60 days Mon 04/07/16 Fri 23/09/16</w:t>
            </w:r>
          </w:p>
          <w:p w:rsidR="00636BDB" w:rsidRPr="00636BDB" w:rsidRDefault="00636BDB" w:rsidP="00636BDB">
            <w:pPr>
              <w:autoSpaceDE w:val="0"/>
              <w:autoSpaceDN w:val="0"/>
              <w:adjustRightInd w:val="0"/>
              <w:rPr>
                <w:rFonts w:ascii="Calibri" w:hAnsi="Calibri" w:cs="Calibri"/>
              </w:rPr>
            </w:pPr>
            <w:r w:rsidRPr="00636BDB">
              <w:rPr>
                <w:rFonts w:ascii="Calibri" w:hAnsi="Calibri" w:cs="Calibri"/>
              </w:rPr>
              <w:t>PREPARATION OF TENDER DOCUMENTS 3 wks Mon 04/07/16 Fri 22/07/16</w:t>
            </w:r>
          </w:p>
          <w:p w:rsidR="00636BDB" w:rsidRPr="00636BDB" w:rsidRDefault="00636BDB" w:rsidP="00636BDB">
            <w:pPr>
              <w:autoSpaceDE w:val="0"/>
              <w:autoSpaceDN w:val="0"/>
              <w:adjustRightInd w:val="0"/>
              <w:rPr>
                <w:rFonts w:ascii="Calibri" w:hAnsi="Calibri" w:cs="Calibri"/>
              </w:rPr>
            </w:pPr>
            <w:r w:rsidRPr="00636BDB">
              <w:rPr>
                <w:rFonts w:ascii="Calibri" w:hAnsi="Calibri" w:cs="Calibri"/>
              </w:rPr>
              <w:t>ISSUE OF TENDERS 0 days Fri 22/07/16 Fri 22/07/16</w:t>
            </w:r>
          </w:p>
          <w:p w:rsidR="00636BDB" w:rsidRPr="00636BDB" w:rsidRDefault="00636BDB" w:rsidP="00636BDB">
            <w:pPr>
              <w:autoSpaceDE w:val="0"/>
              <w:autoSpaceDN w:val="0"/>
              <w:adjustRightInd w:val="0"/>
              <w:rPr>
                <w:rFonts w:ascii="Calibri" w:hAnsi="Calibri" w:cs="Calibri"/>
              </w:rPr>
            </w:pPr>
            <w:r w:rsidRPr="00636BDB">
              <w:rPr>
                <w:rFonts w:ascii="Calibri" w:hAnsi="Calibri" w:cs="Calibri"/>
              </w:rPr>
              <w:t>TENDER PERIOD 6 wks Mon 25/07/16 Fri 02/09/16</w:t>
            </w:r>
          </w:p>
          <w:p w:rsidR="00636BDB" w:rsidRPr="00636BDB" w:rsidRDefault="00636BDB" w:rsidP="00636BDB">
            <w:pPr>
              <w:autoSpaceDE w:val="0"/>
              <w:autoSpaceDN w:val="0"/>
              <w:adjustRightInd w:val="0"/>
              <w:rPr>
                <w:rFonts w:ascii="Calibri" w:hAnsi="Calibri" w:cs="Calibri"/>
              </w:rPr>
            </w:pPr>
            <w:r w:rsidRPr="00636BDB">
              <w:rPr>
                <w:rFonts w:ascii="Calibri" w:hAnsi="Calibri" w:cs="Calibri"/>
              </w:rPr>
              <w:t>TENDER REVIEW AND APPRAISAL 2 wks Mon 05/09/16 Fri 16/09/16</w:t>
            </w:r>
          </w:p>
          <w:p w:rsidR="00636BDB" w:rsidRPr="00636BDB" w:rsidRDefault="00636BDB" w:rsidP="00636BDB">
            <w:pPr>
              <w:autoSpaceDE w:val="0"/>
              <w:autoSpaceDN w:val="0"/>
              <w:adjustRightInd w:val="0"/>
              <w:rPr>
                <w:rFonts w:ascii="Calibri" w:hAnsi="Calibri" w:cs="Calibri"/>
              </w:rPr>
            </w:pPr>
            <w:r w:rsidRPr="00636BDB">
              <w:rPr>
                <w:rFonts w:ascii="Calibri" w:hAnsi="Calibri" w:cs="Calibri"/>
              </w:rPr>
              <w:t>CONTRACTOR SELECTION 1 wk Mon 19/09/16 Fri 23/09/16</w:t>
            </w:r>
          </w:p>
          <w:p w:rsidR="00636BDB" w:rsidRPr="00636BDB" w:rsidRDefault="00636BDB" w:rsidP="00636BDB">
            <w:pPr>
              <w:autoSpaceDE w:val="0"/>
              <w:autoSpaceDN w:val="0"/>
              <w:adjustRightInd w:val="0"/>
              <w:rPr>
                <w:rFonts w:ascii="Calibri" w:hAnsi="Calibri" w:cs="Calibri"/>
                <w:b/>
                <w:bCs/>
              </w:rPr>
            </w:pPr>
            <w:r w:rsidRPr="00636BDB">
              <w:rPr>
                <w:rFonts w:ascii="Calibri" w:hAnsi="Calibri" w:cs="Calibri"/>
                <w:b/>
                <w:bCs/>
              </w:rPr>
              <w:t>PHASE 1 INFRASTRUCTURE 65 days Mon 28/03/16 Fri 24/06/16</w:t>
            </w:r>
          </w:p>
          <w:p w:rsidR="00636BDB" w:rsidRPr="00636BDB" w:rsidRDefault="00636BDB" w:rsidP="00636BDB">
            <w:pPr>
              <w:autoSpaceDE w:val="0"/>
              <w:autoSpaceDN w:val="0"/>
              <w:adjustRightInd w:val="0"/>
              <w:rPr>
                <w:rFonts w:ascii="Calibri" w:hAnsi="Calibri" w:cs="Calibri"/>
              </w:rPr>
            </w:pPr>
            <w:r w:rsidRPr="00636BDB">
              <w:rPr>
                <w:rFonts w:ascii="Calibri" w:hAnsi="Calibri" w:cs="Calibri"/>
              </w:rPr>
              <w:t>PREPARATION OF TENDER DOCUMENTS 4 wks Mon 28/03/16 Fri 22/04/16</w:t>
            </w:r>
          </w:p>
          <w:p w:rsidR="00636BDB" w:rsidRPr="00636BDB" w:rsidRDefault="00636BDB" w:rsidP="00636BDB">
            <w:pPr>
              <w:autoSpaceDE w:val="0"/>
              <w:autoSpaceDN w:val="0"/>
              <w:adjustRightInd w:val="0"/>
              <w:rPr>
                <w:rFonts w:ascii="Calibri" w:hAnsi="Calibri" w:cs="Calibri"/>
              </w:rPr>
            </w:pPr>
            <w:r w:rsidRPr="00636BDB">
              <w:rPr>
                <w:rFonts w:ascii="Calibri" w:hAnsi="Calibri" w:cs="Calibri"/>
              </w:rPr>
              <w:t>ISSUE OF TENDERS 0 days Fri 22/04/16 Fri 22/04/16</w:t>
            </w:r>
          </w:p>
          <w:p w:rsidR="00636BDB" w:rsidRPr="00636BDB" w:rsidRDefault="00636BDB" w:rsidP="00636BDB">
            <w:pPr>
              <w:autoSpaceDE w:val="0"/>
              <w:autoSpaceDN w:val="0"/>
              <w:adjustRightInd w:val="0"/>
              <w:rPr>
                <w:rFonts w:ascii="Calibri" w:hAnsi="Calibri" w:cs="Calibri"/>
              </w:rPr>
            </w:pPr>
            <w:r w:rsidRPr="00636BDB">
              <w:rPr>
                <w:rFonts w:ascii="Calibri" w:hAnsi="Calibri" w:cs="Calibri"/>
              </w:rPr>
              <w:t>TENDER PERIOD 6 wks Mon 25/04/16 Fri 03/06/16</w:t>
            </w:r>
          </w:p>
          <w:p w:rsidR="00636BDB" w:rsidRDefault="00636BDB" w:rsidP="00636BDB">
            <w:pPr>
              <w:autoSpaceDE w:val="0"/>
              <w:autoSpaceDN w:val="0"/>
              <w:adjustRightInd w:val="0"/>
              <w:rPr>
                <w:rFonts w:ascii="Calibri" w:hAnsi="Calibri" w:cs="Calibri"/>
              </w:rPr>
            </w:pPr>
            <w:r w:rsidRPr="00636BDB">
              <w:rPr>
                <w:rFonts w:ascii="Calibri" w:hAnsi="Calibri" w:cs="Calibri"/>
              </w:rPr>
              <w:lastRenderedPageBreak/>
              <w:t xml:space="preserve">TENDER REVIEW AND APPRAISAL </w:t>
            </w:r>
            <w:r>
              <w:rPr>
                <w:rFonts w:ascii="Calibri" w:hAnsi="Calibri" w:cs="Calibri"/>
              </w:rPr>
              <w:t>2 wks Mon 06/06/16 Fri 17/06/16</w:t>
            </w:r>
          </w:p>
          <w:p w:rsidR="00636BDB" w:rsidRPr="00636BDB" w:rsidRDefault="00636BDB" w:rsidP="00636BDB">
            <w:pPr>
              <w:autoSpaceDE w:val="0"/>
              <w:autoSpaceDN w:val="0"/>
              <w:adjustRightInd w:val="0"/>
              <w:rPr>
                <w:rFonts w:ascii="Calibri" w:hAnsi="Calibri" w:cs="Calibri"/>
              </w:rPr>
            </w:pPr>
            <w:r w:rsidRPr="00636BDB">
              <w:rPr>
                <w:rFonts w:ascii="Calibri" w:hAnsi="Calibri" w:cs="Calibri"/>
              </w:rPr>
              <w:t>CONTRACTOR SELECTION 1 wk Mon 20/06/16 Fri 24/06/16</w:t>
            </w:r>
          </w:p>
          <w:p w:rsidR="00636BDB" w:rsidRPr="00636BDB" w:rsidRDefault="00636BDB" w:rsidP="00636BDB">
            <w:pPr>
              <w:autoSpaceDE w:val="0"/>
              <w:autoSpaceDN w:val="0"/>
              <w:adjustRightInd w:val="0"/>
              <w:rPr>
                <w:rFonts w:ascii="Calibri" w:hAnsi="Calibri" w:cs="Calibri"/>
                <w:b/>
                <w:bCs/>
              </w:rPr>
            </w:pPr>
            <w:r w:rsidRPr="00636BDB">
              <w:rPr>
                <w:rFonts w:ascii="Calibri" w:hAnsi="Calibri" w:cs="Calibri"/>
                <w:b/>
                <w:bCs/>
              </w:rPr>
              <w:t>UTILITIES 100 days Mon 26/10/15 Fri 11/03/16</w:t>
            </w:r>
          </w:p>
          <w:p w:rsidR="00636BDB" w:rsidRPr="00636BDB" w:rsidRDefault="00636BDB" w:rsidP="00636BDB">
            <w:pPr>
              <w:autoSpaceDE w:val="0"/>
              <w:autoSpaceDN w:val="0"/>
              <w:adjustRightInd w:val="0"/>
              <w:rPr>
                <w:rFonts w:ascii="Calibri" w:hAnsi="Calibri" w:cs="Calibri"/>
              </w:rPr>
            </w:pPr>
            <w:r w:rsidRPr="00636BDB">
              <w:rPr>
                <w:rFonts w:ascii="Calibri" w:hAnsi="Calibri" w:cs="Calibri"/>
              </w:rPr>
              <w:t>OBTAINING QUOTATIONS 12 wks Mon 26/10/15 Fri 15/01/16</w:t>
            </w:r>
          </w:p>
          <w:p w:rsidR="008A343D" w:rsidRDefault="00636BDB" w:rsidP="00636BDB">
            <w:pPr>
              <w:autoSpaceDE w:val="0"/>
              <w:autoSpaceDN w:val="0"/>
              <w:adjustRightInd w:val="0"/>
            </w:pPr>
            <w:r w:rsidRPr="00636BDB">
              <w:rPr>
                <w:rFonts w:ascii="Calibri" w:hAnsi="Calibri" w:cs="Calibri"/>
              </w:rPr>
              <w:t>PLACEMENT OF ORDERS AND AGREEMENT OFLEGALS 8 wks Mon 18/01/16 Fri 11/03/16</w:t>
            </w:r>
            <w:r w:rsidR="008A343D" w:rsidRPr="00636BDB">
              <w:t xml:space="preserve"> </w:t>
            </w:r>
          </w:p>
          <w:p w:rsidR="001B41B0" w:rsidRDefault="001B41B0" w:rsidP="00636BDB">
            <w:pPr>
              <w:autoSpaceDE w:val="0"/>
              <w:autoSpaceDN w:val="0"/>
              <w:adjustRightInd w:val="0"/>
            </w:pPr>
          </w:p>
          <w:p w:rsidR="001B41B0" w:rsidRPr="00636BDB" w:rsidRDefault="001B41B0" w:rsidP="00636BDB">
            <w:pPr>
              <w:autoSpaceDE w:val="0"/>
              <w:autoSpaceDN w:val="0"/>
              <w:adjustRightInd w:val="0"/>
              <w:rPr>
                <w:rFonts w:ascii="Calibri" w:hAnsi="Calibri" w:cs="Calibri"/>
              </w:rPr>
            </w:pPr>
            <w:r w:rsidRPr="001B41B0">
              <w:rPr>
                <w:highlight w:val="yellow"/>
              </w:rPr>
              <w:t>Alan – anything else we can say on procurement strategy?</w:t>
            </w:r>
          </w:p>
          <w:p w:rsidR="005C6EEB" w:rsidRPr="00A40FB4" w:rsidRDefault="005C6EEB" w:rsidP="001E582C"/>
        </w:tc>
      </w:tr>
      <w:tr w:rsidR="00B34F20" w:rsidTr="00636BDB">
        <w:tc>
          <w:tcPr>
            <w:tcW w:w="2671" w:type="dxa"/>
            <w:shd w:val="clear" w:color="auto" w:fill="4BACC6" w:themeFill="accent5"/>
          </w:tcPr>
          <w:p w:rsidR="00B34F20" w:rsidRPr="00685C6D" w:rsidRDefault="00CC3E27" w:rsidP="00B34F20">
            <w:pPr>
              <w:pStyle w:val="ListParagraph"/>
              <w:numPr>
                <w:ilvl w:val="1"/>
                <w:numId w:val="1"/>
              </w:numPr>
              <w:ind w:left="601" w:hanging="567"/>
              <w:rPr>
                <w:b/>
                <w:color w:val="FFFFFF" w:themeColor="background1"/>
              </w:rPr>
            </w:pPr>
            <w:r>
              <w:rPr>
                <w:b/>
                <w:color w:val="FFFFFF" w:themeColor="background1"/>
              </w:rPr>
              <w:lastRenderedPageBreak/>
              <w:t>Commercial dependencies</w:t>
            </w:r>
          </w:p>
        </w:tc>
        <w:tc>
          <w:tcPr>
            <w:tcW w:w="7677" w:type="dxa"/>
          </w:tcPr>
          <w:p w:rsidR="00B34F20" w:rsidRDefault="00B34F20" w:rsidP="00B74A4A">
            <w:pPr>
              <w:ind w:left="33"/>
              <w:jc w:val="both"/>
              <w:rPr>
                <w:i/>
              </w:rPr>
            </w:pPr>
          </w:p>
          <w:p w:rsidR="00BE26C9" w:rsidRDefault="00B74A4A" w:rsidP="00B74A4A">
            <w:pPr>
              <w:jc w:val="both"/>
            </w:pPr>
            <w:r>
              <w:t>As previously identified in sections 2.6-2.7, there are several commercial dependencies linked to scheme delivery at present. These include:</w:t>
            </w:r>
          </w:p>
          <w:p w:rsidR="00BE26C9" w:rsidRDefault="00BE26C9" w:rsidP="00B74A4A">
            <w:pPr>
              <w:jc w:val="both"/>
            </w:pPr>
          </w:p>
          <w:p w:rsidR="00BE26C9" w:rsidRDefault="00BE26C9" w:rsidP="00B74A4A">
            <w:pPr>
              <w:pStyle w:val="ListParagraph"/>
              <w:numPr>
                <w:ilvl w:val="0"/>
                <w:numId w:val="39"/>
              </w:numPr>
              <w:jc w:val="both"/>
            </w:pPr>
            <w:r>
              <w:t>Planning</w:t>
            </w:r>
            <w:r w:rsidR="00B74A4A">
              <w:t xml:space="preserve"> – a planning decision is due in February 2016 and this remains a risk until then, although the fact that the </w:t>
            </w:r>
            <w:r w:rsidR="00F42166">
              <w:t xml:space="preserve">site is allocated in the adopted JAAP means that planning risks are very low. </w:t>
            </w:r>
          </w:p>
          <w:p w:rsidR="00B74A4A" w:rsidRDefault="00B74A4A" w:rsidP="00B74A4A">
            <w:pPr>
              <w:pStyle w:val="ListParagraph"/>
              <w:ind w:left="360"/>
              <w:jc w:val="both"/>
            </w:pPr>
          </w:p>
          <w:p w:rsidR="00B74A4A" w:rsidRDefault="00BE26C9" w:rsidP="000554E3">
            <w:pPr>
              <w:pStyle w:val="ListParagraph"/>
              <w:numPr>
                <w:ilvl w:val="0"/>
                <w:numId w:val="39"/>
              </w:numPr>
              <w:jc w:val="both"/>
            </w:pPr>
            <w:r>
              <w:t>M</w:t>
            </w:r>
            <w:r w:rsidR="00B74A4A">
              <w:t>arket demand from occupiers – at present</w:t>
            </w:r>
            <w:r w:rsidR="00F42166">
              <w:t xml:space="preserve"> there are no pre-lets in place, however, a developer has been appointed and a DA is in place. A marketing strategy is yet to commence and there are already a number of identified occupier interests in the site. </w:t>
            </w:r>
          </w:p>
          <w:p w:rsidR="00F42166" w:rsidRDefault="00F42166" w:rsidP="00F42166">
            <w:pPr>
              <w:pStyle w:val="ListParagraph"/>
            </w:pPr>
          </w:p>
          <w:p w:rsidR="00BE26C9" w:rsidRPr="00BE26C9" w:rsidRDefault="00B74A4A" w:rsidP="00B74A4A">
            <w:pPr>
              <w:pStyle w:val="ListParagraph"/>
              <w:numPr>
                <w:ilvl w:val="0"/>
                <w:numId w:val="39"/>
              </w:numPr>
              <w:jc w:val="both"/>
            </w:pPr>
            <w:r>
              <w:t xml:space="preserve">Formal agreement from the rugby club to relocate to facilitate delivery – this is a key dependency and negotiations with the rugby club are ongoing. A linked planning application has been submitted to support the relocation of this and the Council funding has been allocated to enable this. </w:t>
            </w:r>
          </w:p>
          <w:p w:rsidR="001923FB" w:rsidRDefault="001923FB" w:rsidP="00B74A4A">
            <w:pPr>
              <w:ind w:left="33"/>
              <w:jc w:val="both"/>
              <w:rPr>
                <w:i/>
              </w:rPr>
            </w:pPr>
          </w:p>
          <w:p w:rsidR="001923FB" w:rsidRDefault="001923FB" w:rsidP="00B74A4A">
            <w:pPr>
              <w:ind w:left="33"/>
              <w:jc w:val="both"/>
              <w:rPr>
                <w:i/>
              </w:rPr>
            </w:pPr>
          </w:p>
          <w:p w:rsidR="001923FB" w:rsidRPr="002E2BAE" w:rsidRDefault="001923FB" w:rsidP="00B74A4A">
            <w:pPr>
              <w:ind w:left="33"/>
              <w:jc w:val="both"/>
              <w:rPr>
                <w:i/>
              </w:rPr>
            </w:pPr>
          </w:p>
        </w:tc>
      </w:tr>
      <w:tr w:rsidR="00B34F20" w:rsidTr="00636BDB">
        <w:tc>
          <w:tcPr>
            <w:tcW w:w="2671" w:type="dxa"/>
            <w:shd w:val="clear" w:color="auto" w:fill="4BACC6" w:themeFill="accent5"/>
          </w:tcPr>
          <w:p w:rsidR="00B34F20" w:rsidRPr="00685C6D" w:rsidRDefault="00CC3E27" w:rsidP="00B34F20">
            <w:pPr>
              <w:pStyle w:val="ListParagraph"/>
              <w:numPr>
                <w:ilvl w:val="1"/>
                <w:numId w:val="1"/>
              </w:numPr>
              <w:ind w:left="601" w:hanging="567"/>
              <w:rPr>
                <w:b/>
                <w:color w:val="FFFFFF" w:themeColor="background1"/>
              </w:rPr>
            </w:pPr>
            <w:r>
              <w:rPr>
                <w:b/>
                <w:color w:val="FFFFFF" w:themeColor="background1"/>
              </w:rPr>
              <w:t>Commercial sustainability</w:t>
            </w:r>
          </w:p>
        </w:tc>
        <w:tc>
          <w:tcPr>
            <w:tcW w:w="7677" w:type="dxa"/>
          </w:tcPr>
          <w:p w:rsidR="00B34F20" w:rsidRDefault="00CC3E27" w:rsidP="00B74A4A">
            <w:pPr>
              <w:ind w:left="33"/>
              <w:jc w:val="both"/>
              <w:rPr>
                <w:i/>
              </w:rPr>
            </w:pPr>
            <w:r>
              <w:rPr>
                <w:i/>
              </w:rPr>
              <w:t xml:space="preserve">Please can you identify how the project will be commercially sustainable? </w:t>
            </w:r>
            <w:r w:rsidRPr="00675461">
              <w:rPr>
                <w:i/>
              </w:rPr>
              <w:t>Will the project require on going revenue support? If so how will this be funded?</w:t>
            </w:r>
          </w:p>
          <w:p w:rsidR="001923FB" w:rsidRDefault="001923FB" w:rsidP="00B74A4A">
            <w:pPr>
              <w:ind w:left="33"/>
              <w:jc w:val="both"/>
              <w:rPr>
                <w:i/>
              </w:rPr>
            </w:pPr>
          </w:p>
          <w:p w:rsidR="00741558" w:rsidRDefault="00741558" w:rsidP="00B74A4A">
            <w:pPr>
              <w:ind w:left="33"/>
              <w:jc w:val="both"/>
            </w:pPr>
            <w:r>
              <w:t>The project will be commercially sustainable for a number of reasons:</w:t>
            </w:r>
          </w:p>
          <w:p w:rsidR="00741558" w:rsidRDefault="00741558" w:rsidP="00B74A4A">
            <w:pPr>
              <w:ind w:left="33"/>
              <w:jc w:val="both"/>
            </w:pPr>
          </w:p>
          <w:p w:rsidR="00741558" w:rsidRDefault="001E582C" w:rsidP="00B74A4A">
            <w:pPr>
              <w:pStyle w:val="ListParagraph"/>
              <w:numPr>
                <w:ilvl w:val="0"/>
                <w:numId w:val="38"/>
              </w:numPr>
              <w:jc w:val="both"/>
            </w:pPr>
            <w:r>
              <w:t>The new access roundabout and spur road off this into the site</w:t>
            </w:r>
            <w:r w:rsidR="00741558">
              <w:t xml:space="preserve"> will become adopted as Council highways and the Council will be fully responsible for the costs associated with maintaining this</w:t>
            </w:r>
          </w:p>
          <w:p w:rsidR="00741558" w:rsidRDefault="00741558" w:rsidP="00B74A4A">
            <w:pPr>
              <w:pStyle w:val="ListParagraph"/>
              <w:numPr>
                <w:ilvl w:val="0"/>
                <w:numId w:val="38"/>
              </w:numPr>
              <w:jc w:val="both"/>
            </w:pPr>
            <w:r>
              <w:t>New utility based infrastructure to the site will be maintained by the relevant utility provider</w:t>
            </w:r>
            <w:r w:rsidR="001E582C">
              <w:t xml:space="preserve"> </w:t>
            </w:r>
          </w:p>
          <w:p w:rsidR="00523665" w:rsidRDefault="00523665" w:rsidP="00B74A4A">
            <w:pPr>
              <w:pStyle w:val="ListParagraph"/>
              <w:numPr>
                <w:ilvl w:val="0"/>
                <w:numId w:val="38"/>
              </w:numPr>
              <w:jc w:val="both"/>
            </w:pPr>
            <w:r>
              <w:t xml:space="preserve">There is a lack of supply of high quality B1 office space in the local area and given the site’s location, profile and scale, the scheme will deliver a new product to the market and based on anticipated occupier demand and the lack of supply, it certainly not result in market saturation/maturity and will result in a commercially sustainable project. </w:t>
            </w:r>
          </w:p>
          <w:p w:rsidR="00741558" w:rsidRDefault="00741558" w:rsidP="00B74A4A">
            <w:pPr>
              <w:pStyle w:val="ListParagraph"/>
              <w:numPr>
                <w:ilvl w:val="0"/>
                <w:numId w:val="38"/>
              </w:numPr>
              <w:jc w:val="both"/>
            </w:pPr>
            <w:r>
              <w:t>As landowner, the Council will take responsibility for funding any ongoing revenue costs that arise on the business park site</w:t>
            </w:r>
          </w:p>
          <w:p w:rsidR="00741558" w:rsidRPr="00741558" w:rsidRDefault="00741558" w:rsidP="00B74A4A">
            <w:pPr>
              <w:pStyle w:val="ListParagraph"/>
              <w:numPr>
                <w:ilvl w:val="0"/>
                <w:numId w:val="38"/>
              </w:numPr>
              <w:jc w:val="both"/>
            </w:pPr>
            <w:r>
              <w:t>Once the infrastructure is complete</w:t>
            </w:r>
            <w:r w:rsidR="00AC4467">
              <w:t>d</w:t>
            </w:r>
            <w:r>
              <w:t xml:space="preserve"> and the development plots are unlocked, the intention is that HBDL as development partner, will then build plots out on a design and build basis to meet occupier needs and specifications. The intention is then to lease the completed phase 1 floorspace to occupiers to provide the Council with an ongoing revenue stream. A service charge will also be incorporated within the overall occupancy cost to occupiers and this will be used to offset some of the wider estate management costs associated with the business park. The fact that the infrastructure scheme will unlock a first phase commercial</w:t>
            </w:r>
            <w:r w:rsidR="00B74A4A">
              <w:t>ly viable</w:t>
            </w:r>
            <w:r>
              <w:t xml:space="preserve"> development scheme </w:t>
            </w:r>
            <w:r w:rsidR="00B74A4A">
              <w:t xml:space="preserve">which will generate rental income </w:t>
            </w:r>
            <w:r w:rsidR="00B74A4A">
              <w:lastRenderedPageBreak/>
              <w:t xml:space="preserve">to the Council therefore mitigates any concerns around the extent to which any ongoing revenue costs may be met. </w:t>
            </w:r>
          </w:p>
          <w:p w:rsidR="00BE26C9" w:rsidRDefault="00BE26C9" w:rsidP="00B74A4A">
            <w:pPr>
              <w:ind w:left="33"/>
              <w:jc w:val="both"/>
            </w:pPr>
          </w:p>
          <w:p w:rsidR="001923FB" w:rsidRPr="00C503CD" w:rsidRDefault="001923FB" w:rsidP="00B74A4A">
            <w:pPr>
              <w:jc w:val="both"/>
            </w:pPr>
          </w:p>
        </w:tc>
      </w:tr>
      <w:tr w:rsidR="00B34F20" w:rsidTr="00636BDB">
        <w:tc>
          <w:tcPr>
            <w:tcW w:w="2671" w:type="dxa"/>
            <w:shd w:val="clear" w:color="auto" w:fill="4BACC6" w:themeFill="accent5"/>
          </w:tcPr>
          <w:p w:rsidR="00B34F20" w:rsidRPr="00685C6D" w:rsidRDefault="00CC3E27" w:rsidP="00B34F20">
            <w:pPr>
              <w:pStyle w:val="ListParagraph"/>
              <w:numPr>
                <w:ilvl w:val="1"/>
                <w:numId w:val="1"/>
              </w:numPr>
              <w:ind w:left="601" w:hanging="567"/>
              <w:rPr>
                <w:b/>
                <w:color w:val="FFFFFF" w:themeColor="background1"/>
              </w:rPr>
            </w:pPr>
            <w:r>
              <w:rPr>
                <w:b/>
                <w:color w:val="FFFFFF" w:themeColor="background1"/>
              </w:rPr>
              <w:lastRenderedPageBreak/>
              <w:t>Compatibility with State Aid rules</w:t>
            </w:r>
          </w:p>
        </w:tc>
        <w:tc>
          <w:tcPr>
            <w:tcW w:w="7677" w:type="dxa"/>
          </w:tcPr>
          <w:p w:rsidR="00921155" w:rsidRDefault="00921155" w:rsidP="005B2FAD">
            <w:pPr>
              <w:jc w:val="both"/>
            </w:pPr>
            <w:r>
              <w:t xml:space="preserve">State Aid arises whenever state support is used in the provision of goods or services by particular undertakings in a given market where these funds would distort that market and affect the ability of undertakings in the EU to compete on a level playing field. </w:t>
            </w:r>
          </w:p>
          <w:p w:rsidR="00921155" w:rsidRDefault="00921155" w:rsidP="005B2FAD">
            <w:pPr>
              <w:jc w:val="both"/>
            </w:pPr>
          </w:p>
          <w:p w:rsidR="001923FB" w:rsidRDefault="00921155" w:rsidP="005B2FAD">
            <w:pPr>
              <w:jc w:val="both"/>
            </w:pPr>
            <w:r>
              <w:t xml:space="preserve">This project is considered State Aid compliant on the basis that it relates to public sector investment in general infrastructure that will be open to the public on a free and non-discriminatory basis. It is recognised that there is always incidental benefit to someone when the state funds infrastructure works but if the predominant effect is for the general good rather than a specific undertaking, it should qualify as general infrastructure and not State Aid. </w:t>
            </w:r>
            <w:r w:rsidRPr="002A647B">
              <w:rPr>
                <w:rFonts w:ascii="Calibri" w:hAnsi="Calibri" w:cs="Arial"/>
              </w:rPr>
              <w:t xml:space="preserve">Based on the fact that the </w:t>
            </w:r>
            <w:r w:rsidR="005B2FAD">
              <w:rPr>
                <w:rFonts w:ascii="Calibri" w:hAnsi="Calibri" w:cs="Arial"/>
              </w:rPr>
              <w:t xml:space="preserve">infrastructure </w:t>
            </w:r>
            <w:r w:rsidRPr="002A647B">
              <w:rPr>
                <w:rFonts w:ascii="Calibri" w:hAnsi="Calibri" w:cs="Arial"/>
              </w:rPr>
              <w:t>works will bring wide benefits for the surrounding area in terms of improved roads and accessibility, they constitute general public infrastructure and as such do not constitute State Aid to any particular recipient.</w:t>
            </w:r>
            <w:r w:rsidR="00FB4424">
              <w:rPr>
                <w:rFonts w:ascii="Calibri" w:hAnsi="Calibri" w:cs="Arial"/>
              </w:rPr>
              <w:t xml:space="preserve"> Furthermore, given that the agreed DA with HBDL identifies that </w:t>
            </w:r>
            <w:r w:rsidR="005B2FAD">
              <w:rPr>
                <w:rFonts w:ascii="Calibri" w:hAnsi="Calibri" w:cs="Arial"/>
              </w:rPr>
              <w:t xml:space="preserve">the public sector will contribute funding towards the delivery of site infrastructure, the use of LGF to part fund these works will not result in any additional benefit to HBDL, which was procured as the Council’s preferred development partner through a fully compliant OJEU process. </w:t>
            </w:r>
            <w:r w:rsidR="00FB4424">
              <w:rPr>
                <w:rFonts w:ascii="Calibri" w:hAnsi="Calibri" w:cs="Arial"/>
              </w:rPr>
              <w:t xml:space="preserve"> </w:t>
            </w:r>
            <w:r w:rsidR="005B2FAD">
              <w:rPr>
                <w:rFonts w:ascii="Calibri" w:hAnsi="Calibri" w:cs="Arial"/>
              </w:rPr>
              <w:t>Furthermore, a</w:t>
            </w:r>
            <w:r w:rsidR="00BE26C9">
              <w:t>ny increase in site value</w:t>
            </w:r>
            <w:r w:rsidR="005B2FAD">
              <w:t xml:space="preserve"> that arises as a result of the publicly funded infrastructure works</w:t>
            </w:r>
            <w:r w:rsidR="00BE26C9">
              <w:t xml:space="preserve"> will be attributa</w:t>
            </w:r>
            <w:r w:rsidR="005B2FAD">
              <w:t xml:space="preserve">ble to the Council as landowner and therefore does not give rise to any State Aid issues. </w:t>
            </w:r>
          </w:p>
          <w:p w:rsidR="005B2FAD" w:rsidRPr="00BE26C9" w:rsidRDefault="005B2FAD" w:rsidP="005B2FAD">
            <w:pPr>
              <w:jc w:val="both"/>
            </w:pPr>
          </w:p>
          <w:bookmarkStart w:id="1" w:name="_MON_1506334425"/>
          <w:bookmarkEnd w:id="1"/>
          <w:p w:rsidR="001923FB" w:rsidRDefault="00391857" w:rsidP="009167BF">
            <w:pPr>
              <w:ind w:left="33"/>
            </w:pPr>
            <w:r>
              <w:object w:dxaOrig="1551" w:dyaOrig="10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50.25pt" o:ole="">
                  <v:imagedata r:id="rId18" o:title=""/>
                </v:shape>
                <o:OLEObject Type="Embed" ProgID="Word.Document.12" ShapeID="_x0000_i1025" DrawAspect="Icon" ObjectID="_1515595404" r:id="rId19">
                  <o:FieldCodes>\s</o:FieldCodes>
                </o:OLEObject>
              </w:object>
            </w:r>
          </w:p>
          <w:p w:rsidR="001923FB" w:rsidRPr="00C503CD" w:rsidRDefault="001923FB" w:rsidP="00975471">
            <w:pPr>
              <w:ind w:left="33"/>
            </w:pPr>
          </w:p>
        </w:tc>
      </w:tr>
      <w:tr w:rsidR="00A44680" w:rsidTr="00636BDB">
        <w:tc>
          <w:tcPr>
            <w:tcW w:w="2671" w:type="dxa"/>
            <w:shd w:val="clear" w:color="auto" w:fill="4BACC6" w:themeFill="accent5"/>
          </w:tcPr>
          <w:p w:rsidR="00A44680" w:rsidRDefault="00A44680" w:rsidP="00B34F20">
            <w:pPr>
              <w:pStyle w:val="ListParagraph"/>
              <w:numPr>
                <w:ilvl w:val="1"/>
                <w:numId w:val="1"/>
              </w:numPr>
              <w:ind w:left="601" w:hanging="567"/>
              <w:rPr>
                <w:b/>
                <w:color w:val="FFFFFF" w:themeColor="background1"/>
              </w:rPr>
            </w:pPr>
            <w:r>
              <w:rPr>
                <w:b/>
                <w:color w:val="FFFFFF" w:themeColor="background1"/>
              </w:rPr>
              <w:t xml:space="preserve">Commercial </w:t>
            </w:r>
            <w:r w:rsidR="001B4174">
              <w:rPr>
                <w:b/>
                <w:color w:val="FFFFFF" w:themeColor="background1"/>
              </w:rPr>
              <w:t>viability</w:t>
            </w:r>
          </w:p>
        </w:tc>
        <w:tc>
          <w:tcPr>
            <w:tcW w:w="7677" w:type="dxa"/>
          </w:tcPr>
          <w:p w:rsidR="00A44680" w:rsidRDefault="001B4174" w:rsidP="009167BF">
            <w:pPr>
              <w:ind w:left="33"/>
              <w:rPr>
                <w:i/>
              </w:rPr>
            </w:pPr>
            <w:r w:rsidRPr="001B4174">
              <w:rPr>
                <w:i/>
              </w:rPr>
              <w:t>Please provide:</w:t>
            </w:r>
          </w:p>
          <w:p w:rsidR="001B4174" w:rsidRPr="001B4174" w:rsidRDefault="001B4174" w:rsidP="009167BF">
            <w:pPr>
              <w:ind w:left="33"/>
              <w:rPr>
                <w:i/>
              </w:rPr>
            </w:pPr>
          </w:p>
          <w:p w:rsidR="001B4174" w:rsidRDefault="001B4174" w:rsidP="001B4174">
            <w:pPr>
              <w:pStyle w:val="ListParagraph"/>
              <w:numPr>
                <w:ilvl w:val="0"/>
                <w:numId w:val="8"/>
              </w:numPr>
              <w:rPr>
                <w:i/>
              </w:rPr>
            </w:pPr>
            <w:r w:rsidRPr="001B4174">
              <w:rPr>
                <w:i/>
              </w:rPr>
              <w:t>Evidence to show the risk allocation and transfer between the promoter and contractor and timescales identified in procurement and/or contract management strategy</w:t>
            </w:r>
          </w:p>
          <w:p w:rsidR="00B74A4A" w:rsidRDefault="00B74A4A" w:rsidP="00B74A4A">
            <w:pPr>
              <w:rPr>
                <w:i/>
              </w:rPr>
            </w:pPr>
          </w:p>
          <w:p w:rsidR="00B74A4A" w:rsidRDefault="00975471" w:rsidP="00975471">
            <w:pPr>
              <w:jc w:val="both"/>
              <w:rPr>
                <w:i/>
              </w:rPr>
            </w:pPr>
            <w:r>
              <w:t xml:space="preserve">HBDL will take full responsibility for all elements of procurement in relation to the Phase 1 infrastructure scheme and this will need to undertaken in accordance with the Council’s Contracts Procedure Rules as per the terms of the DA between the Council and HBDL. HBDL will develop tender documents which will then transfer risks as appropriate to the contractors as part of this procurement process, ensuring that all appointed contractors have minimum thresholds of insurance cover as per the Council’s Contract Procedure Rules. All tender documents will be reviewed and agreed by the Council in advance of being posted and the Council will need to be satisfied that the risk allocation is satisfactory. </w:t>
            </w:r>
          </w:p>
          <w:p w:rsidR="00B74A4A" w:rsidRPr="00B74A4A" w:rsidRDefault="00B74A4A" w:rsidP="00B74A4A">
            <w:pPr>
              <w:rPr>
                <w:i/>
              </w:rPr>
            </w:pPr>
          </w:p>
          <w:p w:rsidR="001B4174" w:rsidRDefault="001B4174" w:rsidP="001B4174">
            <w:pPr>
              <w:pStyle w:val="ListParagraph"/>
              <w:numPr>
                <w:ilvl w:val="0"/>
                <w:numId w:val="8"/>
              </w:numPr>
              <w:rPr>
                <w:i/>
              </w:rPr>
            </w:pPr>
            <w:r w:rsidRPr="001B4174">
              <w:rPr>
                <w:i/>
              </w:rPr>
              <w:t>Definition of approach taken to assess commercial viability</w:t>
            </w:r>
          </w:p>
          <w:p w:rsidR="00B74A4A" w:rsidRDefault="00B74A4A" w:rsidP="00B74A4A">
            <w:pPr>
              <w:pStyle w:val="ListParagraph"/>
              <w:ind w:left="393"/>
              <w:rPr>
                <w:i/>
              </w:rPr>
            </w:pPr>
          </w:p>
          <w:p w:rsidR="00B74A4A" w:rsidRPr="006942BF" w:rsidRDefault="006942BF" w:rsidP="006942BF">
            <w:pPr>
              <w:jc w:val="both"/>
            </w:pPr>
            <w:r>
              <w:t xml:space="preserve">Commercial viability has been a consideration throughout the development of this scheme at a number of levels. The cost plan includes a 6% overhead and profit margin assumption for all infrastructure works which effectively represents the contractors’ profit associated with delivering the prescribed phase 1 infrastructure works. This has been determined by external cost consultants and is considered a satisfactory market rate. Once the infrastructure has been delivered, HBDL as the </w:t>
            </w:r>
            <w:r>
              <w:lastRenderedPageBreak/>
              <w:t xml:space="preserve">Council’s development partner will then develop out the phase 1 plots as and when occupier commitments to lease floorspace come forward. This will be on the basis of the Development Agreement which the Council has in place with HBDL. HBDL will be able to take a level of developers’ profit </w:t>
            </w:r>
            <w:r w:rsidR="00AC4467">
              <w:t>from delivering the</w:t>
            </w:r>
            <w:r>
              <w:t xml:space="preserve"> schemes in accordance with this and has prepared development appraisals (an appraisal is attached to this business case) which demonstrate that the phase 1 scheme is commercially viable subject to the public sector funding the required abnormal site infrastructure costs to address the current viability gap that exists as a result of these abnormal costs and the likely values that will be achieved. </w:t>
            </w:r>
          </w:p>
          <w:p w:rsidR="00B74A4A" w:rsidRPr="001B4174" w:rsidRDefault="00B74A4A" w:rsidP="006942BF">
            <w:pPr>
              <w:pStyle w:val="ListParagraph"/>
              <w:ind w:left="393"/>
              <w:jc w:val="both"/>
              <w:rPr>
                <w:i/>
              </w:rPr>
            </w:pPr>
          </w:p>
          <w:p w:rsidR="001B4174" w:rsidRDefault="001B4174" w:rsidP="006942BF">
            <w:pPr>
              <w:pStyle w:val="ListParagraph"/>
              <w:numPr>
                <w:ilvl w:val="0"/>
                <w:numId w:val="8"/>
              </w:numPr>
              <w:jc w:val="both"/>
              <w:rPr>
                <w:i/>
              </w:rPr>
            </w:pPr>
            <w:r w:rsidRPr="001B4174">
              <w:rPr>
                <w:i/>
              </w:rPr>
              <w:t>Arrangements for cost overrun</w:t>
            </w:r>
          </w:p>
          <w:p w:rsidR="006942BF" w:rsidRDefault="006942BF" w:rsidP="006942BF">
            <w:pPr>
              <w:ind w:left="33"/>
              <w:jc w:val="both"/>
              <w:rPr>
                <w:i/>
              </w:rPr>
            </w:pPr>
          </w:p>
          <w:p w:rsidR="006942BF" w:rsidRPr="006942BF" w:rsidRDefault="006942BF" w:rsidP="006942BF">
            <w:pPr>
              <w:ind w:left="33"/>
              <w:jc w:val="both"/>
            </w:pPr>
            <w:r>
              <w:t xml:space="preserve">The Council, as landowner and scheme promoter, will be responsible for any cost over-runs associated with the delivery of the phase 1 infrastructure scheme as proposed. Costs have been provided by professional cost consultants and include a 5% contingency which is considered reasonable at this stage. </w:t>
            </w:r>
          </w:p>
          <w:p w:rsidR="006942BF" w:rsidRDefault="006942BF" w:rsidP="006942BF">
            <w:pPr>
              <w:ind w:left="33"/>
              <w:rPr>
                <w:i/>
              </w:rPr>
            </w:pPr>
          </w:p>
          <w:p w:rsidR="006942BF" w:rsidRPr="006942BF" w:rsidRDefault="006942BF" w:rsidP="006942BF">
            <w:pPr>
              <w:ind w:left="33"/>
              <w:rPr>
                <w:i/>
              </w:rPr>
            </w:pPr>
          </w:p>
          <w:p w:rsidR="001B4174" w:rsidRPr="001B4174" w:rsidRDefault="001B4174" w:rsidP="001B4174">
            <w:pPr>
              <w:pStyle w:val="ListParagraph"/>
              <w:numPr>
                <w:ilvl w:val="0"/>
                <w:numId w:val="8"/>
              </w:numPr>
              <w:rPr>
                <w:i/>
              </w:rPr>
            </w:pPr>
            <w:r w:rsidRPr="001B4174">
              <w:rPr>
                <w:i/>
              </w:rPr>
              <w:t>Letter from S151 officer.</w:t>
            </w:r>
          </w:p>
          <w:p w:rsidR="00A77301" w:rsidRDefault="00BE26C9" w:rsidP="00A77301">
            <w:pPr>
              <w:ind w:left="33"/>
              <w:rPr>
                <w:i/>
              </w:rPr>
            </w:pPr>
            <w:r>
              <w:t xml:space="preserve"> </w:t>
            </w:r>
          </w:p>
          <w:p w:rsidR="00A77301" w:rsidRPr="00374A6F" w:rsidRDefault="00A77301" w:rsidP="00A77301">
            <w:pPr>
              <w:ind w:left="33"/>
            </w:pPr>
            <w:r>
              <w:t>See attached s151 letter from the Council</w:t>
            </w:r>
          </w:p>
          <w:p w:rsidR="00BE26C9" w:rsidRDefault="00BE26C9" w:rsidP="00BE26C9"/>
          <w:p w:rsidR="00BE26C9" w:rsidRDefault="00BE26C9" w:rsidP="00BE26C9"/>
          <w:p w:rsidR="00BE26C9" w:rsidRDefault="00BE26C9" w:rsidP="00BE26C9"/>
        </w:tc>
      </w:tr>
    </w:tbl>
    <w:p w:rsidR="00B34F20" w:rsidRDefault="00B34F20" w:rsidP="008C2F9C">
      <w:pPr>
        <w:spacing w:after="0" w:line="240" w:lineRule="auto"/>
        <w:ind w:left="709" w:hanging="567"/>
        <w:rPr>
          <w:b/>
        </w:rPr>
      </w:pPr>
    </w:p>
    <w:p w:rsidR="00B34F20" w:rsidRDefault="00B34F20" w:rsidP="008C2F9C">
      <w:pPr>
        <w:spacing w:after="0" w:line="240" w:lineRule="auto"/>
        <w:ind w:left="709" w:hanging="567"/>
        <w:rPr>
          <w:b/>
        </w:rPr>
      </w:pPr>
    </w:p>
    <w:p w:rsidR="001923FB" w:rsidRDefault="001923FB">
      <w:pPr>
        <w:rPr>
          <w:b/>
        </w:rPr>
      </w:pPr>
      <w:r>
        <w:rPr>
          <w:b/>
        </w:rPr>
        <w:br w:type="page"/>
      </w:r>
    </w:p>
    <w:p w:rsidR="00B34F20" w:rsidRDefault="00B34F20" w:rsidP="008C2F9C">
      <w:pPr>
        <w:spacing w:after="0" w:line="240" w:lineRule="auto"/>
        <w:ind w:left="709" w:hanging="567"/>
        <w:rPr>
          <w:b/>
        </w:rPr>
      </w:pPr>
    </w:p>
    <w:tbl>
      <w:tblPr>
        <w:tblStyle w:val="TableGrid"/>
        <w:tblW w:w="10490" w:type="dxa"/>
        <w:tblInd w:w="108" w:type="dxa"/>
        <w:tblLayout w:type="fixed"/>
        <w:tblLook w:val="04A0"/>
      </w:tblPr>
      <w:tblGrid>
        <w:gridCol w:w="2694"/>
        <w:gridCol w:w="7796"/>
      </w:tblGrid>
      <w:tr w:rsidR="00FA5D2A" w:rsidTr="002F463E">
        <w:tc>
          <w:tcPr>
            <w:tcW w:w="2694" w:type="dxa"/>
            <w:shd w:val="clear" w:color="auto" w:fill="000000" w:themeFill="text1"/>
          </w:tcPr>
          <w:p w:rsidR="00FA5D2A" w:rsidRPr="00FA5D2A" w:rsidRDefault="00FA5D2A" w:rsidP="00CC3E27">
            <w:pPr>
              <w:pStyle w:val="ListParagraph"/>
              <w:numPr>
                <w:ilvl w:val="0"/>
                <w:numId w:val="1"/>
              </w:numPr>
              <w:ind w:left="601" w:hanging="567"/>
              <w:rPr>
                <w:b/>
              </w:rPr>
            </w:pPr>
            <w:r w:rsidRPr="006279EC">
              <w:rPr>
                <w:b/>
                <w:sz w:val="24"/>
              </w:rPr>
              <w:t>FINANCIAL CASE</w:t>
            </w:r>
          </w:p>
        </w:tc>
        <w:tc>
          <w:tcPr>
            <w:tcW w:w="7796" w:type="dxa"/>
            <w:shd w:val="clear" w:color="auto" w:fill="000000" w:themeFill="text1"/>
          </w:tcPr>
          <w:p w:rsidR="00FA5D2A" w:rsidRDefault="00FA5D2A" w:rsidP="008C2F9C">
            <w:pPr>
              <w:ind w:left="709" w:hanging="567"/>
              <w:rPr>
                <w:b/>
              </w:rPr>
            </w:pPr>
          </w:p>
        </w:tc>
      </w:tr>
      <w:tr w:rsidR="002E2BAE" w:rsidTr="002F463E">
        <w:tc>
          <w:tcPr>
            <w:tcW w:w="10490" w:type="dxa"/>
            <w:gridSpan w:val="2"/>
          </w:tcPr>
          <w:p w:rsidR="002E2BAE" w:rsidRPr="002E2BAE" w:rsidRDefault="002E2BAE" w:rsidP="008C2F9C">
            <w:pPr>
              <w:ind w:left="709" w:hanging="567"/>
              <w:rPr>
                <w:b/>
                <w:i/>
              </w:rPr>
            </w:pPr>
            <w:r>
              <w:rPr>
                <w:i/>
              </w:rPr>
              <w:t xml:space="preserve">To be completed in conjunction with the spreadsheet in </w:t>
            </w:r>
            <w:r>
              <w:rPr>
                <w:b/>
                <w:i/>
              </w:rPr>
              <w:t>Part B</w:t>
            </w:r>
          </w:p>
        </w:tc>
      </w:tr>
      <w:tr w:rsidR="00FA5D2A" w:rsidTr="002F463E">
        <w:tc>
          <w:tcPr>
            <w:tcW w:w="2694" w:type="dxa"/>
            <w:shd w:val="clear" w:color="auto" w:fill="4BACC6" w:themeFill="accent5"/>
          </w:tcPr>
          <w:p w:rsidR="00FA5D2A" w:rsidRPr="00685C6D" w:rsidRDefault="00FA5D2A" w:rsidP="00CC3E27">
            <w:pPr>
              <w:pStyle w:val="ListParagraph"/>
              <w:numPr>
                <w:ilvl w:val="1"/>
                <w:numId w:val="1"/>
              </w:numPr>
              <w:ind w:left="601" w:hanging="567"/>
              <w:rPr>
                <w:b/>
                <w:color w:val="FFFFFF" w:themeColor="background1"/>
              </w:rPr>
            </w:pPr>
            <w:r w:rsidRPr="00685C6D">
              <w:rPr>
                <w:b/>
                <w:color w:val="FFFFFF" w:themeColor="background1"/>
              </w:rPr>
              <w:t>Total project cost</w:t>
            </w:r>
            <w:r w:rsidR="001923FB">
              <w:rPr>
                <w:b/>
                <w:color w:val="FFFFFF" w:themeColor="background1"/>
              </w:rPr>
              <w:t xml:space="preserve"> and basis for estimates</w:t>
            </w:r>
          </w:p>
        </w:tc>
        <w:tc>
          <w:tcPr>
            <w:tcW w:w="7796" w:type="dxa"/>
          </w:tcPr>
          <w:p w:rsidR="00177D60" w:rsidRDefault="00B56616" w:rsidP="002F463E">
            <w:pPr>
              <w:ind w:left="33"/>
              <w:jc w:val="both"/>
            </w:pPr>
            <w:r>
              <w:t xml:space="preserve">The total estimated cost of the phase 1 infrastructure scheme at this stage is £8.82m. This is based on a preliminary cost plan prepared by Burnley Wilson Fish cost consultants in October 2015. Costs are based on initial technical work </w:t>
            </w:r>
            <w:r w:rsidR="002F463E">
              <w:t>and outline scheme designs (prepared by Jefferson Sheard Architects) that have</w:t>
            </w:r>
            <w:r>
              <w:t xml:space="preserve"> been undertaken to date to inform </w:t>
            </w:r>
            <w:r w:rsidR="002F463E">
              <w:t xml:space="preserve">site </w:t>
            </w:r>
            <w:r>
              <w:t xml:space="preserve">development feasibility, the JAAP evidence base and the recent planning </w:t>
            </w:r>
            <w:r w:rsidR="002F463E">
              <w:t xml:space="preserve">applications. A number of technical studies relating to surface water drainage and transport/access have been undertaken to inform this, including highways designs by Vectos. </w:t>
            </w:r>
          </w:p>
          <w:p w:rsidR="002F463E" w:rsidRDefault="002F463E" w:rsidP="002F463E">
            <w:pPr>
              <w:ind w:left="33"/>
              <w:jc w:val="both"/>
            </w:pPr>
          </w:p>
          <w:p w:rsidR="002F463E" w:rsidRDefault="002F463E" w:rsidP="002F463E">
            <w:pPr>
              <w:ind w:left="33"/>
              <w:jc w:val="both"/>
            </w:pPr>
            <w:r>
              <w:t xml:space="preserve">Cost estimates have had to be assumed at this stage in relation to incoming service infrastructure requirements pending receipt of quotations from statutory providers. </w:t>
            </w:r>
          </w:p>
          <w:p w:rsidR="002F463E" w:rsidRDefault="002F463E" w:rsidP="002F463E">
            <w:pPr>
              <w:ind w:left="33"/>
              <w:jc w:val="both"/>
            </w:pPr>
          </w:p>
          <w:p w:rsidR="002F463E" w:rsidRDefault="002F463E" w:rsidP="002F463E">
            <w:pPr>
              <w:ind w:left="33"/>
              <w:jc w:val="both"/>
            </w:pPr>
            <w:r>
              <w:t>The cost plan includes a 5% contingency, professional fees allowance and allowance for inflation. It excludes VAT and other typically excluded cost items at this stage such as finance charges and planning fees etc. A summary breakdown of the £8.82m phase 1 infrastructure cost is presented below:</w:t>
            </w:r>
          </w:p>
          <w:p w:rsidR="002F463E" w:rsidRDefault="002F463E" w:rsidP="002F463E">
            <w:pPr>
              <w:ind w:left="33"/>
              <w:jc w:val="both"/>
            </w:pPr>
          </w:p>
          <w:p w:rsidR="002F463E" w:rsidRDefault="002F463E" w:rsidP="002F463E">
            <w:pPr>
              <w:ind w:left="33"/>
              <w:jc w:val="both"/>
            </w:pPr>
            <w:r>
              <w:rPr>
                <w:noProof/>
              </w:rPr>
              <w:drawing>
                <wp:inline distT="0" distB="0" distL="0" distR="0">
                  <wp:extent cx="4712597" cy="5705475"/>
                  <wp:effectExtent l="19050" t="19050" r="1206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stretch>
                            <a:fillRect/>
                          </a:stretch>
                        </pic:blipFill>
                        <pic:spPr>
                          <a:xfrm>
                            <a:off x="0" y="0"/>
                            <a:ext cx="4714295" cy="5707531"/>
                          </a:xfrm>
                          <a:prstGeom prst="rect">
                            <a:avLst/>
                          </a:prstGeom>
                          <a:ln>
                            <a:solidFill>
                              <a:schemeClr val="tx1"/>
                            </a:solidFill>
                          </a:ln>
                        </pic:spPr>
                      </pic:pic>
                    </a:graphicData>
                  </a:graphic>
                </wp:inline>
              </w:drawing>
            </w:r>
          </w:p>
          <w:p w:rsidR="002F463E" w:rsidRDefault="002F463E" w:rsidP="002F463E">
            <w:pPr>
              <w:ind w:left="33"/>
              <w:jc w:val="both"/>
            </w:pPr>
          </w:p>
          <w:p w:rsidR="002F463E" w:rsidRDefault="002F463E" w:rsidP="002F463E">
            <w:pPr>
              <w:ind w:left="33"/>
              <w:jc w:val="both"/>
            </w:pPr>
          </w:p>
          <w:p w:rsidR="00B56616" w:rsidRPr="00C10158" w:rsidRDefault="00B56616" w:rsidP="002F463E"/>
        </w:tc>
      </w:tr>
      <w:tr w:rsidR="00FA5D2A" w:rsidTr="002F463E">
        <w:tc>
          <w:tcPr>
            <w:tcW w:w="2694" w:type="dxa"/>
            <w:shd w:val="clear" w:color="auto" w:fill="4BACC6" w:themeFill="accent5"/>
          </w:tcPr>
          <w:p w:rsidR="00FA5D2A" w:rsidRPr="00685C6D" w:rsidRDefault="00FA5D2A" w:rsidP="001923FB">
            <w:pPr>
              <w:pStyle w:val="ListParagraph"/>
              <w:numPr>
                <w:ilvl w:val="1"/>
                <w:numId w:val="1"/>
              </w:numPr>
              <w:ind w:left="601" w:hanging="567"/>
              <w:rPr>
                <w:b/>
                <w:color w:val="FFFFFF" w:themeColor="background1"/>
              </w:rPr>
            </w:pPr>
            <w:r w:rsidRPr="00685C6D">
              <w:rPr>
                <w:b/>
                <w:color w:val="FFFFFF" w:themeColor="background1"/>
              </w:rPr>
              <w:lastRenderedPageBreak/>
              <w:t xml:space="preserve">Total </w:t>
            </w:r>
            <w:r w:rsidR="001923FB">
              <w:rPr>
                <w:b/>
                <w:color w:val="FFFFFF" w:themeColor="background1"/>
              </w:rPr>
              <w:t>SELEP funding request</w:t>
            </w:r>
          </w:p>
        </w:tc>
        <w:tc>
          <w:tcPr>
            <w:tcW w:w="7796" w:type="dxa"/>
          </w:tcPr>
          <w:p w:rsidR="00A40FB4" w:rsidRPr="00A40FB4" w:rsidRDefault="00C10158" w:rsidP="002F463E">
            <w:pPr>
              <w:ind w:left="33"/>
              <w:jc w:val="both"/>
            </w:pPr>
            <w:r>
              <w:t xml:space="preserve">£3.2m of LGF is being sought </w:t>
            </w:r>
            <w:r w:rsidR="002F463E">
              <w:t xml:space="preserve">to enable the delivery of this </w:t>
            </w:r>
            <w:r>
              <w:t>phase 1 scheme</w:t>
            </w:r>
          </w:p>
        </w:tc>
      </w:tr>
      <w:tr w:rsidR="00FA5D2A" w:rsidTr="002F463E">
        <w:tc>
          <w:tcPr>
            <w:tcW w:w="2694" w:type="dxa"/>
            <w:shd w:val="clear" w:color="auto" w:fill="4BACC6" w:themeFill="accent5"/>
          </w:tcPr>
          <w:p w:rsidR="00FA5D2A" w:rsidRPr="00685C6D" w:rsidRDefault="002E2BAE" w:rsidP="00CC3E27">
            <w:pPr>
              <w:pStyle w:val="ListParagraph"/>
              <w:numPr>
                <w:ilvl w:val="1"/>
                <w:numId w:val="1"/>
              </w:numPr>
              <w:ind w:left="601" w:hanging="567"/>
              <w:rPr>
                <w:b/>
                <w:color w:val="FFFFFF" w:themeColor="background1"/>
              </w:rPr>
            </w:pPr>
            <w:r w:rsidRPr="00685C6D">
              <w:rPr>
                <w:b/>
                <w:color w:val="FFFFFF" w:themeColor="background1"/>
              </w:rPr>
              <w:t>Other sources of funding</w:t>
            </w:r>
          </w:p>
        </w:tc>
        <w:tc>
          <w:tcPr>
            <w:tcW w:w="7796" w:type="dxa"/>
          </w:tcPr>
          <w:p w:rsidR="002F463E" w:rsidRDefault="002F463E" w:rsidP="002F463E">
            <w:pPr>
              <w:jc w:val="both"/>
              <w:rPr>
                <w:color w:val="000000" w:themeColor="text1"/>
              </w:rPr>
            </w:pPr>
            <w:r>
              <w:rPr>
                <w:color w:val="000000" w:themeColor="text1"/>
              </w:rPr>
              <w:t xml:space="preserve">Southend Council will fund the remaining £5.62m of cost associated with delivering this phase 1 infrastructure scheme. This funding has been allocated within the Council’s 2014-2024 Capital Programme and will be made available subject to an LGF funding award for £3.2m. </w:t>
            </w:r>
          </w:p>
          <w:p w:rsidR="00236CA6" w:rsidRDefault="00236CA6" w:rsidP="002F463E">
            <w:pPr>
              <w:ind w:left="33"/>
              <w:jc w:val="both"/>
              <w:rPr>
                <w:color w:val="000000" w:themeColor="text1"/>
              </w:rPr>
            </w:pPr>
          </w:p>
          <w:p w:rsidR="00AC4467" w:rsidRDefault="00AC4467" w:rsidP="002F463E">
            <w:pPr>
              <w:ind w:left="33"/>
              <w:jc w:val="both"/>
              <w:rPr>
                <w:color w:val="000000" w:themeColor="text1"/>
              </w:rPr>
            </w:pPr>
            <w:r>
              <w:rPr>
                <w:color w:val="000000" w:themeColor="text1"/>
              </w:rPr>
              <w:t>The Council will also contribute its land to the scheme at nil cost</w:t>
            </w:r>
            <w:r w:rsidR="00975471">
              <w:rPr>
                <w:color w:val="000000" w:themeColor="text1"/>
              </w:rPr>
              <w:t>, although long term ground rents and capital receipts are forecast to enable the Council to recover some of this investment. The site</w:t>
            </w:r>
            <w:r>
              <w:rPr>
                <w:color w:val="000000" w:themeColor="text1"/>
              </w:rPr>
              <w:t xml:space="preserve"> has a</w:t>
            </w:r>
            <w:r w:rsidR="00975471">
              <w:rPr>
                <w:color w:val="000000" w:themeColor="text1"/>
              </w:rPr>
              <w:t>n indicative</w:t>
            </w:r>
            <w:r>
              <w:rPr>
                <w:color w:val="000000" w:themeColor="text1"/>
              </w:rPr>
              <w:t xml:space="preserve"> market value of c.£20m. </w:t>
            </w:r>
          </w:p>
          <w:p w:rsidR="00236CA6" w:rsidRDefault="00236CA6" w:rsidP="002F463E">
            <w:pPr>
              <w:ind w:left="33"/>
              <w:jc w:val="both"/>
              <w:rPr>
                <w:color w:val="000000" w:themeColor="text1"/>
              </w:rPr>
            </w:pPr>
          </w:p>
          <w:p w:rsidR="00236CA6" w:rsidRDefault="00236CA6" w:rsidP="002F463E">
            <w:pPr>
              <w:ind w:left="33"/>
              <w:jc w:val="both"/>
              <w:rPr>
                <w:color w:val="000000" w:themeColor="text1"/>
              </w:rPr>
            </w:pPr>
          </w:p>
          <w:p w:rsidR="00236CA6" w:rsidRPr="003C00A6" w:rsidRDefault="00236CA6" w:rsidP="002F463E">
            <w:pPr>
              <w:ind w:left="33"/>
              <w:jc w:val="both"/>
              <w:rPr>
                <w:color w:val="000000" w:themeColor="text1"/>
              </w:rPr>
            </w:pPr>
          </w:p>
        </w:tc>
      </w:tr>
      <w:tr w:rsidR="00236CA6" w:rsidTr="002F463E">
        <w:trPr>
          <w:trHeight w:val="3325"/>
        </w:trPr>
        <w:tc>
          <w:tcPr>
            <w:tcW w:w="10490" w:type="dxa"/>
            <w:gridSpan w:val="2"/>
            <w:shd w:val="clear" w:color="auto" w:fill="4BACC6" w:themeFill="accent5"/>
          </w:tcPr>
          <w:p w:rsidR="00236CA6" w:rsidRDefault="00236CA6" w:rsidP="00CC3E27">
            <w:pPr>
              <w:pStyle w:val="ListParagraph"/>
              <w:numPr>
                <w:ilvl w:val="1"/>
                <w:numId w:val="1"/>
              </w:numPr>
              <w:ind w:left="601" w:hanging="567"/>
              <w:rPr>
                <w:b/>
                <w:color w:val="FFFFFF" w:themeColor="background1"/>
              </w:rPr>
            </w:pPr>
            <w:r>
              <w:rPr>
                <w:b/>
                <w:color w:val="FFFFFF" w:themeColor="background1"/>
              </w:rPr>
              <w:t>Summary financial profile</w:t>
            </w:r>
          </w:p>
          <w:p w:rsidR="00191F56" w:rsidRDefault="00191F56" w:rsidP="00191F56">
            <w:pPr>
              <w:rPr>
                <w:b/>
                <w:color w:val="FFFFFF" w:themeColor="background1"/>
              </w:rPr>
            </w:pPr>
          </w:p>
          <w:p w:rsidR="00236CA6" w:rsidRDefault="00236CA6" w:rsidP="00236CA6">
            <w:pPr>
              <w:pStyle w:val="ListParagraph"/>
              <w:ind w:left="601"/>
              <w:rPr>
                <w:b/>
                <w:color w:val="FFFFFF" w:themeColor="background1"/>
              </w:rPr>
            </w:pPr>
          </w:p>
          <w:p w:rsidR="00236CA6" w:rsidRDefault="00236CA6" w:rsidP="001923FB">
            <w:pPr>
              <w:rPr>
                <w:b/>
                <w:color w:val="FFFFFF" w:themeColor="background1"/>
              </w:rPr>
            </w:pPr>
          </w:p>
          <w:tbl>
            <w:tblPr>
              <w:tblStyle w:val="TableGrid"/>
              <w:tblpPr w:leftFromText="180" w:rightFromText="180" w:vertAnchor="text" w:horzAnchor="margin" w:tblpY="-231"/>
              <w:tblOverlap w:val="never"/>
              <w:tblW w:w="0" w:type="auto"/>
              <w:shd w:val="clear" w:color="auto" w:fill="FFFFFF" w:themeFill="background1"/>
              <w:tblLayout w:type="fixed"/>
              <w:tblLook w:val="04A0"/>
            </w:tblPr>
            <w:tblGrid>
              <w:gridCol w:w="1980"/>
              <w:gridCol w:w="992"/>
              <w:gridCol w:w="1204"/>
              <w:gridCol w:w="1205"/>
              <w:gridCol w:w="1205"/>
              <w:gridCol w:w="1205"/>
              <w:gridCol w:w="1205"/>
              <w:gridCol w:w="1205"/>
            </w:tblGrid>
            <w:tr w:rsidR="00191F56">
              <w:tc>
                <w:tcPr>
                  <w:tcW w:w="1980" w:type="dxa"/>
                  <w:shd w:val="clear" w:color="auto" w:fill="FFFFFF" w:themeFill="background1"/>
                </w:tcPr>
                <w:p w:rsidR="00191F56" w:rsidRPr="00C96AA1" w:rsidRDefault="00191F56" w:rsidP="009167BF">
                  <w:pPr>
                    <w:rPr>
                      <w:b/>
                      <w:color w:val="000000" w:themeColor="text1"/>
                    </w:rPr>
                  </w:pPr>
                  <w:r>
                    <w:rPr>
                      <w:b/>
                      <w:color w:val="000000" w:themeColor="text1"/>
                    </w:rPr>
                    <w:t>(£m)</w:t>
                  </w:r>
                </w:p>
              </w:tc>
              <w:tc>
                <w:tcPr>
                  <w:tcW w:w="992" w:type="dxa"/>
                  <w:shd w:val="clear" w:color="auto" w:fill="FFFFFF" w:themeFill="background1"/>
                </w:tcPr>
                <w:p w:rsidR="00191F56" w:rsidRPr="00C96AA1" w:rsidRDefault="00191F56" w:rsidP="009167BF">
                  <w:pPr>
                    <w:rPr>
                      <w:b/>
                      <w:color w:val="000000" w:themeColor="text1"/>
                    </w:rPr>
                  </w:pPr>
                </w:p>
              </w:tc>
              <w:tc>
                <w:tcPr>
                  <w:tcW w:w="1204" w:type="dxa"/>
                  <w:shd w:val="clear" w:color="auto" w:fill="FFFFFF" w:themeFill="background1"/>
                </w:tcPr>
                <w:p w:rsidR="00191F56" w:rsidRPr="00C96AA1" w:rsidRDefault="00191F56" w:rsidP="009167BF">
                  <w:pPr>
                    <w:rPr>
                      <w:b/>
                      <w:color w:val="000000" w:themeColor="text1"/>
                    </w:rPr>
                  </w:pPr>
                  <w:r w:rsidRPr="00C96AA1">
                    <w:rPr>
                      <w:b/>
                      <w:color w:val="000000" w:themeColor="text1"/>
                    </w:rPr>
                    <w:t>16/17</w:t>
                  </w:r>
                </w:p>
              </w:tc>
              <w:tc>
                <w:tcPr>
                  <w:tcW w:w="1205" w:type="dxa"/>
                  <w:shd w:val="clear" w:color="auto" w:fill="FFFFFF" w:themeFill="background1"/>
                </w:tcPr>
                <w:p w:rsidR="00191F56" w:rsidRPr="00C96AA1" w:rsidRDefault="00191F56" w:rsidP="009167BF">
                  <w:pPr>
                    <w:rPr>
                      <w:b/>
                      <w:color w:val="000000" w:themeColor="text1"/>
                    </w:rPr>
                  </w:pPr>
                  <w:r w:rsidRPr="00C96AA1">
                    <w:rPr>
                      <w:b/>
                      <w:color w:val="000000" w:themeColor="text1"/>
                    </w:rPr>
                    <w:t>17/18</w:t>
                  </w:r>
                </w:p>
              </w:tc>
              <w:tc>
                <w:tcPr>
                  <w:tcW w:w="1205" w:type="dxa"/>
                  <w:shd w:val="clear" w:color="auto" w:fill="FFFFFF" w:themeFill="background1"/>
                </w:tcPr>
                <w:p w:rsidR="00191F56" w:rsidRPr="00C96AA1" w:rsidRDefault="00191F56" w:rsidP="009167BF">
                  <w:pPr>
                    <w:rPr>
                      <w:b/>
                      <w:color w:val="000000" w:themeColor="text1"/>
                    </w:rPr>
                  </w:pPr>
                  <w:r w:rsidRPr="00C96AA1">
                    <w:rPr>
                      <w:b/>
                      <w:color w:val="000000" w:themeColor="text1"/>
                    </w:rPr>
                    <w:t>18/19</w:t>
                  </w:r>
                </w:p>
              </w:tc>
              <w:tc>
                <w:tcPr>
                  <w:tcW w:w="1205" w:type="dxa"/>
                  <w:shd w:val="clear" w:color="auto" w:fill="FFFFFF" w:themeFill="background1"/>
                </w:tcPr>
                <w:p w:rsidR="00191F56" w:rsidRPr="00C96AA1" w:rsidRDefault="00191F56" w:rsidP="009167BF">
                  <w:pPr>
                    <w:rPr>
                      <w:b/>
                      <w:color w:val="000000" w:themeColor="text1"/>
                    </w:rPr>
                  </w:pPr>
                  <w:r w:rsidRPr="00C96AA1">
                    <w:rPr>
                      <w:b/>
                      <w:color w:val="000000" w:themeColor="text1"/>
                    </w:rPr>
                    <w:t>19/20</w:t>
                  </w:r>
                </w:p>
              </w:tc>
              <w:tc>
                <w:tcPr>
                  <w:tcW w:w="1205" w:type="dxa"/>
                  <w:shd w:val="clear" w:color="auto" w:fill="FFFFFF" w:themeFill="background1"/>
                </w:tcPr>
                <w:p w:rsidR="00191F56" w:rsidRPr="00C96AA1" w:rsidRDefault="00191F56" w:rsidP="009167BF">
                  <w:pPr>
                    <w:rPr>
                      <w:b/>
                      <w:color w:val="000000" w:themeColor="text1"/>
                    </w:rPr>
                  </w:pPr>
                  <w:r w:rsidRPr="00C96AA1">
                    <w:rPr>
                      <w:b/>
                      <w:color w:val="000000" w:themeColor="text1"/>
                    </w:rPr>
                    <w:t>20/21</w:t>
                  </w:r>
                </w:p>
              </w:tc>
              <w:tc>
                <w:tcPr>
                  <w:tcW w:w="1205" w:type="dxa"/>
                  <w:shd w:val="clear" w:color="auto" w:fill="FFFFFF" w:themeFill="background1"/>
                </w:tcPr>
                <w:p w:rsidR="00191F56" w:rsidRPr="00C96AA1" w:rsidRDefault="00191F56" w:rsidP="009167BF">
                  <w:pPr>
                    <w:rPr>
                      <w:b/>
                      <w:color w:val="000000" w:themeColor="text1"/>
                    </w:rPr>
                  </w:pPr>
                  <w:r w:rsidRPr="00C96AA1">
                    <w:rPr>
                      <w:b/>
                      <w:color w:val="000000" w:themeColor="text1"/>
                    </w:rPr>
                    <w:t>Total</w:t>
                  </w:r>
                </w:p>
              </w:tc>
            </w:tr>
            <w:tr w:rsidR="00191F56">
              <w:tc>
                <w:tcPr>
                  <w:tcW w:w="10201" w:type="dxa"/>
                  <w:gridSpan w:val="8"/>
                  <w:shd w:val="clear" w:color="auto" w:fill="000000" w:themeFill="text1"/>
                </w:tcPr>
                <w:p w:rsidR="00191F56" w:rsidRPr="00911976" w:rsidRDefault="00191F56" w:rsidP="009167BF">
                  <w:pPr>
                    <w:rPr>
                      <w:i/>
                      <w:color w:val="FFFFFF" w:themeColor="background1"/>
                    </w:rPr>
                  </w:pPr>
                  <w:r w:rsidRPr="00191F56">
                    <w:rPr>
                      <w:b/>
                      <w:color w:val="FFFFFF" w:themeColor="background1"/>
                    </w:rPr>
                    <w:t>Source of funding</w:t>
                  </w:r>
                  <w:r w:rsidR="00911976">
                    <w:rPr>
                      <w:b/>
                      <w:color w:val="FFFFFF" w:themeColor="background1"/>
                    </w:rPr>
                    <w:t xml:space="preserve"> – </w:t>
                  </w:r>
                  <w:r w:rsidR="00911976">
                    <w:rPr>
                      <w:i/>
                      <w:color w:val="FFFFFF" w:themeColor="background1"/>
                    </w:rPr>
                    <w:t>List here the amount of funding sought</w:t>
                  </w:r>
                </w:p>
              </w:tc>
            </w:tr>
            <w:tr w:rsidR="00191F56">
              <w:tc>
                <w:tcPr>
                  <w:tcW w:w="1980" w:type="dxa"/>
                  <w:shd w:val="clear" w:color="auto" w:fill="FFFFFF" w:themeFill="background1"/>
                </w:tcPr>
                <w:p w:rsidR="00191F56" w:rsidRDefault="00191F56" w:rsidP="009167BF">
                  <w:pPr>
                    <w:rPr>
                      <w:color w:val="000000" w:themeColor="text1"/>
                    </w:rPr>
                  </w:pPr>
                  <w:r>
                    <w:rPr>
                      <w:color w:val="000000" w:themeColor="text1"/>
                    </w:rPr>
                    <w:t>SELEP request</w:t>
                  </w:r>
                </w:p>
              </w:tc>
              <w:tc>
                <w:tcPr>
                  <w:tcW w:w="992" w:type="dxa"/>
                  <w:shd w:val="clear" w:color="auto" w:fill="FFFFFF" w:themeFill="background1"/>
                </w:tcPr>
                <w:p w:rsidR="00191F56" w:rsidRDefault="00191F56" w:rsidP="009167BF">
                  <w:pPr>
                    <w:rPr>
                      <w:color w:val="000000" w:themeColor="text1"/>
                    </w:rPr>
                  </w:pPr>
                </w:p>
              </w:tc>
              <w:tc>
                <w:tcPr>
                  <w:tcW w:w="1204" w:type="dxa"/>
                  <w:shd w:val="clear" w:color="auto" w:fill="FFFFFF" w:themeFill="background1"/>
                </w:tcPr>
                <w:p w:rsidR="00191F56" w:rsidRDefault="00BE7254" w:rsidP="009167BF">
                  <w:pPr>
                    <w:rPr>
                      <w:color w:val="000000" w:themeColor="text1"/>
                    </w:rPr>
                  </w:pPr>
                  <w:r>
                    <w:rPr>
                      <w:color w:val="000000" w:themeColor="text1"/>
                    </w:rPr>
                    <w:t>3.2</w:t>
                  </w:r>
                  <w:r w:rsidR="002A49C6">
                    <w:rPr>
                      <w:color w:val="000000" w:themeColor="text1"/>
                    </w:rPr>
                    <w:t>0</w:t>
                  </w:r>
                </w:p>
              </w:tc>
              <w:tc>
                <w:tcPr>
                  <w:tcW w:w="1205" w:type="dxa"/>
                  <w:shd w:val="clear" w:color="auto" w:fill="FFFFFF" w:themeFill="background1"/>
                </w:tcPr>
                <w:p w:rsidR="00191F56" w:rsidRDefault="00191F56" w:rsidP="009167BF">
                  <w:pPr>
                    <w:rPr>
                      <w:color w:val="000000" w:themeColor="text1"/>
                    </w:rPr>
                  </w:pPr>
                </w:p>
              </w:tc>
              <w:tc>
                <w:tcPr>
                  <w:tcW w:w="1205" w:type="dxa"/>
                  <w:shd w:val="clear" w:color="auto" w:fill="FFFFFF" w:themeFill="background1"/>
                </w:tcPr>
                <w:p w:rsidR="00191F56" w:rsidRDefault="00191F56" w:rsidP="009167BF">
                  <w:pPr>
                    <w:rPr>
                      <w:color w:val="000000" w:themeColor="text1"/>
                    </w:rPr>
                  </w:pPr>
                </w:p>
              </w:tc>
              <w:tc>
                <w:tcPr>
                  <w:tcW w:w="1205" w:type="dxa"/>
                  <w:shd w:val="clear" w:color="auto" w:fill="FFFFFF" w:themeFill="background1"/>
                </w:tcPr>
                <w:p w:rsidR="00191F56" w:rsidRDefault="00191F56" w:rsidP="009167BF">
                  <w:pPr>
                    <w:rPr>
                      <w:color w:val="000000" w:themeColor="text1"/>
                    </w:rPr>
                  </w:pPr>
                </w:p>
              </w:tc>
              <w:tc>
                <w:tcPr>
                  <w:tcW w:w="1205" w:type="dxa"/>
                  <w:shd w:val="clear" w:color="auto" w:fill="FFFFFF" w:themeFill="background1"/>
                </w:tcPr>
                <w:p w:rsidR="00191F56" w:rsidRDefault="00191F56" w:rsidP="009167BF">
                  <w:pPr>
                    <w:rPr>
                      <w:color w:val="000000" w:themeColor="text1"/>
                    </w:rPr>
                  </w:pPr>
                </w:p>
              </w:tc>
              <w:tc>
                <w:tcPr>
                  <w:tcW w:w="1205" w:type="dxa"/>
                  <w:shd w:val="clear" w:color="auto" w:fill="FFFFFF" w:themeFill="background1"/>
                </w:tcPr>
                <w:p w:rsidR="00191F56" w:rsidRDefault="002A49C6" w:rsidP="009167BF">
                  <w:pPr>
                    <w:rPr>
                      <w:color w:val="000000" w:themeColor="text1"/>
                    </w:rPr>
                  </w:pPr>
                  <w:r>
                    <w:rPr>
                      <w:color w:val="000000" w:themeColor="text1"/>
                    </w:rPr>
                    <w:t>3.20</w:t>
                  </w:r>
                </w:p>
              </w:tc>
            </w:tr>
            <w:tr w:rsidR="00191F56">
              <w:tc>
                <w:tcPr>
                  <w:tcW w:w="1980" w:type="dxa"/>
                  <w:shd w:val="clear" w:color="auto" w:fill="FFFFFF" w:themeFill="background1"/>
                </w:tcPr>
                <w:p w:rsidR="00191F56" w:rsidRDefault="00191F56" w:rsidP="009167BF">
                  <w:pPr>
                    <w:rPr>
                      <w:color w:val="000000" w:themeColor="text1"/>
                    </w:rPr>
                  </w:pPr>
                  <w:r>
                    <w:rPr>
                      <w:color w:val="000000" w:themeColor="text1"/>
                    </w:rPr>
                    <w:t>Applicant contribution</w:t>
                  </w:r>
                </w:p>
              </w:tc>
              <w:tc>
                <w:tcPr>
                  <w:tcW w:w="992" w:type="dxa"/>
                  <w:shd w:val="clear" w:color="auto" w:fill="FFFFFF" w:themeFill="background1"/>
                </w:tcPr>
                <w:p w:rsidR="00191F56" w:rsidRDefault="00191F56" w:rsidP="009167BF">
                  <w:pPr>
                    <w:rPr>
                      <w:color w:val="000000" w:themeColor="text1"/>
                    </w:rPr>
                  </w:pPr>
                </w:p>
              </w:tc>
              <w:tc>
                <w:tcPr>
                  <w:tcW w:w="1204" w:type="dxa"/>
                  <w:shd w:val="clear" w:color="auto" w:fill="FFFFFF" w:themeFill="background1"/>
                </w:tcPr>
                <w:p w:rsidR="00191F56" w:rsidRDefault="002A49C6" w:rsidP="009167BF">
                  <w:pPr>
                    <w:rPr>
                      <w:color w:val="000000" w:themeColor="text1"/>
                    </w:rPr>
                  </w:pPr>
                  <w:r>
                    <w:rPr>
                      <w:color w:val="000000" w:themeColor="text1"/>
                    </w:rPr>
                    <w:t>4.60</w:t>
                  </w:r>
                </w:p>
              </w:tc>
              <w:tc>
                <w:tcPr>
                  <w:tcW w:w="1205" w:type="dxa"/>
                  <w:shd w:val="clear" w:color="auto" w:fill="FFFFFF" w:themeFill="background1"/>
                </w:tcPr>
                <w:p w:rsidR="00191F56" w:rsidRDefault="002A49C6" w:rsidP="009167BF">
                  <w:pPr>
                    <w:rPr>
                      <w:color w:val="000000" w:themeColor="text1"/>
                    </w:rPr>
                  </w:pPr>
                  <w:r>
                    <w:rPr>
                      <w:color w:val="000000" w:themeColor="text1"/>
                    </w:rPr>
                    <w:t>1.02</w:t>
                  </w:r>
                </w:p>
              </w:tc>
              <w:tc>
                <w:tcPr>
                  <w:tcW w:w="1205" w:type="dxa"/>
                  <w:shd w:val="clear" w:color="auto" w:fill="FFFFFF" w:themeFill="background1"/>
                </w:tcPr>
                <w:p w:rsidR="00191F56" w:rsidRDefault="00191F56" w:rsidP="009167BF">
                  <w:pPr>
                    <w:rPr>
                      <w:color w:val="000000" w:themeColor="text1"/>
                    </w:rPr>
                  </w:pPr>
                </w:p>
              </w:tc>
              <w:tc>
                <w:tcPr>
                  <w:tcW w:w="1205" w:type="dxa"/>
                  <w:shd w:val="clear" w:color="auto" w:fill="FFFFFF" w:themeFill="background1"/>
                </w:tcPr>
                <w:p w:rsidR="00191F56" w:rsidRDefault="00191F56" w:rsidP="009167BF">
                  <w:pPr>
                    <w:rPr>
                      <w:color w:val="000000" w:themeColor="text1"/>
                    </w:rPr>
                  </w:pPr>
                </w:p>
              </w:tc>
              <w:tc>
                <w:tcPr>
                  <w:tcW w:w="1205" w:type="dxa"/>
                  <w:shd w:val="clear" w:color="auto" w:fill="FFFFFF" w:themeFill="background1"/>
                </w:tcPr>
                <w:p w:rsidR="00191F56" w:rsidRDefault="00191F56" w:rsidP="009167BF">
                  <w:pPr>
                    <w:rPr>
                      <w:color w:val="000000" w:themeColor="text1"/>
                    </w:rPr>
                  </w:pPr>
                </w:p>
              </w:tc>
              <w:tc>
                <w:tcPr>
                  <w:tcW w:w="1205" w:type="dxa"/>
                  <w:shd w:val="clear" w:color="auto" w:fill="FFFFFF" w:themeFill="background1"/>
                </w:tcPr>
                <w:p w:rsidR="00191F56" w:rsidRDefault="002A49C6" w:rsidP="009167BF">
                  <w:pPr>
                    <w:rPr>
                      <w:color w:val="000000" w:themeColor="text1"/>
                    </w:rPr>
                  </w:pPr>
                  <w:r>
                    <w:rPr>
                      <w:color w:val="000000" w:themeColor="text1"/>
                    </w:rPr>
                    <w:t>5.62</w:t>
                  </w:r>
                </w:p>
              </w:tc>
            </w:tr>
            <w:tr w:rsidR="00191F56">
              <w:trPr>
                <w:trHeight w:val="1067"/>
              </w:trPr>
              <w:tc>
                <w:tcPr>
                  <w:tcW w:w="1980" w:type="dxa"/>
                  <w:shd w:val="clear" w:color="auto" w:fill="FFFFFF" w:themeFill="background1"/>
                </w:tcPr>
                <w:p w:rsidR="00191F56" w:rsidRDefault="00191F56" w:rsidP="009167BF">
                  <w:pPr>
                    <w:rPr>
                      <w:color w:val="000000" w:themeColor="text1"/>
                    </w:rPr>
                  </w:pPr>
                  <w:r>
                    <w:rPr>
                      <w:color w:val="000000" w:themeColor="text1"/>
                    </w:rPr>
                    <w:t xml:space="preserve">Third party </w:t>
                  </w:r>
                  <w:r w:rsidR="00911976">
                    <w:rPr>
                      <w:color w:val="000000" w:themeColor="text1"/>
                    </w:rPr>
                    <w:t xml:space="preserve">&amp; other </w:t>
                  </w:r>
                  <w:r>
                    <w:rPr>
                      <w:color w:val="000000" w:themeColor="text1"/>
                    </w:rPr>
                    <w:t>contribution</w:t>
                  </w:r>
                  <w:r w:rsidR="00911976">
                    <w:rPr>
                      <w:color w:val="000000" w:themeColor="text1"/>
                    </w:rPr>
                    <w:t>s</w:t>
                  </w:r>
                  <w:r>
                    <w:rPr>
                      <w:color w:val="000000" w:themeColor="text1"/>
                    </w:rPr>
                    <w:t xml:space="preserve"> (specify per row)</w:t>
                  </w:r>
                </w:p>
              </w:tc>
              <w:tc>
                <w:tcPr>
                  <w:tcW w:w="992" w:type="dxa"/>
                  <w:shd w:val="clear" w:color="auto" w:fill="FFFFFF" w:themeFill="background1"/>
                </w:tcPr>
                <w:p w:rsidR="00191F56" w:rsidRDefault="00191F56" w:rsidP="009167BF">
                  <w:pPr>
                    <w:rPr>
                      <w:color w:val="000000" w:themeColor="text1"/>
                    </w:rPr>
                  </w:pPr>
                </w:p>
              </w:tc>
              <w:tc>
                <w:tcPr>
                  <w:tcW w:w="1204" w:type="dxa"/>
                  <w:shd w:val="clear" w:color="auto" w:fill="FFFFFF" w:themeFill="background1"/>
                </w:tcPr>
                <w:p w:rsidR="00191F56" w:rsidRDefault="00191F56" w:rsidP="009167BF">
                  <w:pPr>
                    <w:rPr>
                      <w:color w:val="000000" w:themeColor="text1"/>
                    </w:rPr>
                  </w:pPr>
                </w:p>
              </w:tc>
              <w:tc>
                <w:tcPr>
                  <w:tcW w:w="1205" w:type="dxa"/>
                  <w:shd w:val="clear" w:color="auto" w:fill="FFFFFF" w:themeFill="background1"/>
                </w:tcPr>
                <w:p w:rsidR="00191F56" w:rsidRDefault="00191F56" w:rsidP="009167BF">
                  <w:pPr>
                    <w:rPr>
                      <w:color w:val="000000" w:themeColor="text1"/>
                    </w:rPr>
                  </w:pPr>
                </w:p>
              </w:tc>
              <w:tc>
                <w:tcPr>
                  <w:tcW w:w="1205" w:type="dxa"/>
                  <w:shd w:val="clear" w:color="auto" w:fill="FFFFFF" w:themeFill="background1"/>
                </w:tcPr>
                <w:p w:rsidR="00191F56" w:rsidRDefault="00191F56" w:rsidP="009167BF">
                  <w:pPr>
                    <w:rPr>
                      <w:color w:val="000000" w:themeColor="text1"/>
                    </w:rPr>
                  </w:pPr>
                </w:p>
              </w:tc>
              <w:tc>
                <w:tcPr>
                  <w:tcW w:w="1205" w:type="dxa"/>
                  <w:shd w:val="clear" w:color="auto" w:fill="FFFFFF" w:themeFill="background1"/>
                </w:tcPr>
                <w:p w:rsidR="00191F56" w:rsidRDefault="00191F56" w:rsidP="009167BF">
                  <w:pPr>
                    <w:rPr>
                      <w:color w:val="000000" w:themeColor="text1"/>
                    </w:rPr>
                  </w:pPr>
                </w:p>
              </w:tc>
              <w:tc>
                <w:tcPr>
                  <w:tcW w:w="1205" w:type="dxa"/>
                  <w:shd w:val="clear" w:color="auto" w:fill="FFFFFF" w:themeFill="background1"/>
                </w:tcPr>
                <w:p w:rsidR="00191F56" w:rsidRDefault="00191F56" w:rsidP="009167BF">
                  <w:pPr>
                    <w:rPr>
                      <w:color w:val="000000" w:themeColor="text1"/>
                    </w:rPr>
                  </w:pPr>
                </w:p>
              </w:tc>
              <w:tc>
                <w:tcPr>
                  <w:tcW w:w="1205" w:type="dxa"/>
                  <w:shd w:val="clear" w:color="auto" w:fill="FFFFFF" w:themeFill="background1"/>
                </w:tcPr>
                <w:p w:rsidR="00191F56" w:rsidRDefault="00191F56" w:rsidP="009167BF">
                  <w:pPr>
                    <w:rPr>
                      <w:color w:val="000000" w:themeColor="text1"/>
                    </w:rPr>
                  </w:pPr>
                </w:p>
              </w:tc>
            </w:tr>
            <w:tr w:rsidR="00582F47">
              <w:trPr>
                <w:trHeight w:val="655"/>
              </w:trPr>
              <w:tc>
                <w:tcPr>
                  <w:tcW w:w="1980" w:type="dxa"/>
                  <w:tcBorders>
                    <w:bottom w:val="single" w:sz="4" w:space="0" w:color="auto"/>
                  </w:tcBorders>
                  <w:shd w:val="clear" w:color="auto" w:fill="FFFFFF" w:themeFill="background1"/>
                </w:tcPr>
                <w:p w:rsidR="00582F47" w:rsidRDefault="00582F47" w:rsidP="00911976">
                  <w:pPr>
                    <w:rPr>
                      <w:color w:val="000000" w:themeColor="text1"/>
                    </w:rPr>
                  </w:pPr>
                  <w:r>
                    <w:rPr>
                      <w:color w:val="000000" w:themeColor="text1"/>
                    </w:rPr>
                    <w:t>Borrowing</w:t>
                  </w:r>
                </w:p>
              </w:tc>
              <w:tc>
                <w:tcPr>
                  <w:tcW w:w="992" w:type="dxa"/>
                  <w:tcBorders>
                    <w:bottom w:val="single" w:sz="4" w:space="0" w:color="auto"/>
                  </w:tcBorders>
                  <w:shd w:val="clear" w:color="auto" w:fill="FFFFFF" w:themeFill="background1"/>
                </w:tcPr>
                <w:p w:rsidR="00582F47" w:rsidRDefault="00582F47" w:rsidP="009167BF">
                  <w:pPr>
                    <w:rPr>
                      <w:color w:val="000000" w:themeColor="text1"/>
                    </w:rPr>
                  </w:pPr>
                </w:p>
              </w:tc>
              <w:tc>
                <w:tcPr>
                  <w:tcW w:w="1204" w:type="dxa"/>
                  <w:tcBorders>
                    <w:bottom w:val="single" w:sz="4" w:space="0" w:color="auto"/>
                  </w:tcBorders>
                  <w:shd w:val="clear" w:color="auto" w:fill="FFFFFF" w:themeFill="background1"/>
                </w:tcPr>
                <w:p w:rsidR="00582F47" w:rsidRDefault="00582F47" w:rsidP="009167BF">
                  <w:pPr>
                    <w:rPr>
                      <w:color w:val="000000" w:themeColor="text1"/>
                    </w:rPr>
                  </w:pPr>
                </w:p>
              </w:tc>
              <w:tc>
                <w:tcPr>
                  <w:tcW w:w="1205" w:type="dxa"/>
                  <w:tcBorders>
                    <w:bottom w:val="single" w:sz="4" w:space="0" w:color="auto"/>
                  </w:tcBorders>
                  <w:shd w:val="clear" w:color="auto" w:fill="FFFFFF" w:themeFill="background1"/>
                </w:tcPr>
                <w:p w:rsidR="00582F47" w:rsidRDefault="00582F47" w:rsidP="009167BF">
                  <w:pPr>
                    <w:rPr>
                      <w:color w:val="000000" w:themeColor="text1"/>
                    </w:rPr>
                  </w:pPr>
                </w:p>
              </w:tc>
              <w:tc>
                <w:tcPr>
                  <w:tcW w:w="1205" w:type="dxa"/>
                  <w:tcBorders>
                    <w:bottom w:val="single" w:sz="4" w:space="0" w:color="auto"/>
                  </w:tcBorders>
                  <w:shd w:val="clear" w:color="auto" w:fill="FFFFFF" w:themeFill="background1"/>
                </w:tcPr>
                <w:p w:rsidR="00582F47" w:rsidRDefault="00582F47" w:rsidP="009167BF">
                  <w:pPr>
                    <w:rPr>
                      <w:color w:val="000000" w:themeColor="text1"/>
                    </w:rPr>
                  </w:pPr>
                </w:p>
              </w:tc>
              <w:tc>
                <w:tcPr>
                  <w:tcW w:w="1205" w:type="dxa"/>
                  <w:tcBorders>
                    <w:bottom w:val="single" w:sz="4" w:space="0" w:color="auto"/>
                  </w:tcBorders>
                  <w:shd w:val="clear" w:color="auto" w:fill="FFFFFF" w:themeFill="background1"/>
                </w:tcPr>
                <w:p w:rsidR="00582F47" w:rsidRDefault="00582F47" w:rsidP="009167BF">
                  <w:pPr>
                    <w:rPr>
                      <w:color w:val="000000" w:themeColor="text1"/>
                    </w:rPr>
                  </w:pPr>
                </w:p>
              </w:tc>
              <w:tc>
                <w:tcPr>
                  <w:tcW w:w="1205" w:type="dxa"/>
                  <w:tcBorders>
                    <w:bottom w:val="single" w:sz="4" w:space="0" w:color="auto"/>
                  </w:tcBorders>
                  <w:shd w:val="clear" w:color="auto" w:fill="FFFFFF" w:themeFill="background1"/>
                </w:tcPr>
                <w:p w:rsidR="00582F47" w:rsidRDefault="00582F47" w:rsidP="009167BF">
                  <w:pPr>
                    <w:rPr>
                      <w:color w:val="000000" w:themeColor="text1"/>
                    </w:rPr>
                  </w:pPr>
                </w:p>
              </w:tc>
              <w:tc>
                <w:tcPr>
                  <w:tcW w:w="1205" w:type="dxa"/>
                  <w:tcBorders>
                    <w:bottom w:val="single" w:sz="4" w:space="0" w:color="auto"/>
                  </w:tcBorders>
                  <w:shd w:val="clear" w:color="auto" w:fill="FFFFFF" w:themeFill="background1"/>
                </w:tcPr>
                <w:p w:rsidR="00582F47" w:rsidRDefault="00582F47" w:rsidP="009167BF">
                  <w:pPr>
                    <w:rPr>
                      <w:color w:val="000000" w:themeColor="text1"/>
                    </w:rPr>
                  </w:pPr>
                </w:p>
              </w:tc>
            </w:tr>
            <w:tr w:rsidR="00582F47">
              <w:trPr>
                <w:trHeight w:val="611"/>
              </w:trPr>
              <w:tc>
                <w:tcPr>
                  <w:tcW w:w="1980" w:type="dxa"/>
                  <w:shd w:val="clear" w:color="auto" w:fill="FFFFFF" w:themeFill="background1"/>
                </w:tcPr>
                <w:p w:rsidR="00582F47" w:rsidRDefault="00582F47" w:rsidP="009167BF">
                  <w:pPr>
                    <w:rPr>
                      <w:color w:val="000000" w:themeColor="text1"/>
                    </w:rPr>
                  </w:pPr>
                  <w:r>
                    <w:rPr>
                      <w:color w:val="000000" w:themeColor="text1"/>
                    </w:rPr>
                    <w:t>Local contribution total (leverage)</w:t>
                  </w:r>
                </w:p>
              </w:tc>
              <w:tc>
                <w:tcPr>
                  <w:tcW w:w="992" w:type="dxa"/>
                  <w:shd w:val="clear" w:color="auto" w:fill="FFFFFF" w:themeFill="background1"/>
                </w:tcPr>
                <w:p w:rsidR="00582F47" w:rsidRDefault="00582F47" w:rsidP="009167BF">
                  <w:pPr>
                    <w:rPr>
                      <w:color w:val="000000" w:themeColor="text1"/>
                    </w:rPr>
                  </w:pPr>
                </w:p>
              </w:tc>
              <w:tc>
                <w:tcPr>
                  <w:tcW w:w="1204" w:type="dxa"/>
                  <w:shd w:val="clear" w:color="auto" w:fill="FFFFFF" w:themeFill="background1"/>
                </w:tcPr>
                <w:p w:rsidR="00582F47" w:rsidRDefault="00582F47" w:rsidP="009167BF">
                  <w:pPr>
                    <w:rPr>
                      <w:color w:val="000000" w:themeColor="text1"/>
                    </w:rPr>
                  </w:pPr>
                </w:p>
              </w:tc>
              <w:tc>
                <w:tcPr>
                  <w:tcW w:w="1205" w:type="dxa"/>
                  <w:shd w:val="clear" w:color="auto" w:fill="FFFFFF" w:themeFill="background1"/>
                </w:tcPr>
                <w:p w:rsidR="00582F47" w:rsidRDefault="00582F47" w:rsidP="009167BF">
                  <w:pPr>
                    <w:rPr>
                      <w:color w:val="000000" w:themeColor="text1"/>
                    </w:rPr>
                  </w:pPr>
                </w:p>
              </w:tc>
              <w:tc>
                <w:tcPr>
                  <w:tcW w:w="1205" w:type="dxa"/>
                  <w:shd w:val="clear" w:color="auto" w:fill="FFFFFF" w:themeFill="background1"/>
                </w:tcPr>
                <w:p w:rsidR="00582F47" w:rsidRDefault="00582F47" w:rsidP="009167BF">
                  <w:pPr>
                    <w:rPr>
                      <w:color w:val="000000" w:themeColor="text1"/>
                    </w:rPr>
                  </w:pPr>
                </w:p>
              </w:tc>
              <w:tc>
                <w:tcPr>
                  <w:tcW w:w="1205" w:type="dxa"/>
                  <w:shd w:val="clear" w:color="auto" w:fill="FFFFFF" w:themeFill="background1"/>
                </w:tcPr>
                <w:p w:rsidR="00582F47" w:rsidRDefault="00582F47" w:rsidP="009167BF">
                  <w:pPr>
                    <w:rPr>
                      <w:color w:val="000000" w:themeColor="text1"/>
                    </w:rPr>
                  </w:pPr>
                </w:p>
              </w:tc>
              <w:tc>
                <w:tcPr>
                  <w:tcW w:w="1205" w:type="dxa"/>
                  <w:shd w:val="clear" w:color="auto" w:fill="FFFFFF" w:themeFill="background1"/>
                </w:tcPr>
                <w:p w:rsidR="00582F47" w:rsidRDefault="00582F47" w:rsidP="009167BF">
                  <w:pPr>
                    <w:rPr>
                      <w:color w:val="000000" w:themeColor="text1"/>
                    </w:rPr>
                  </w:pPr>
                </w:p>
              </w:tc>
              <w:tc>
                <w:tcPr>
                  <w:tcW w:w="1205" w:type="dxa"/>
                  <w:shd w:val="clear" w:color="auto" w:fill="FFFFFF" w:themeFill="background1"/>
                </w:tcPr>
                <w:p w:rsidR="00582F47" w:rsidRDefault="00582F47" w:rsidP="009167BF">
                  <w:pPr>
                    <w:rPr>
                      <w:color w:val="000000" w:themeColor="text1"/>
                    </w:rPr>
                  </w:pPr>
                </w:p>
              </w:tc>
            </w:tr>
            <w:tr w:rsidR="00191F56">
              <w:tc>
                <w:tcPr>
                  <w:tcW w:w="1980" w:type="dxa"/>
                  <w:tcBorders>
                    <w:bottom w:val="single" w:sz="4" w:space="0" w:color="auto"/>
                  </w:tcBorders>
                  <w:shd w:val="clear" w:color="auto" w:fill="FFFFFF" w:themeFill="background1"/>
                </w:tcPr>
                <w:p w:rsidR="00191F56" w:rsidRPr="00911976" w:rsidRDefault="00191F56" w:rsidP="009167BF">
                  <w:pPr>
                    <w:rPr>
                      <w:b/>
                      <w:color w:val="000000" w:themeColor="text1"/>
                    </w:rPr>
                  </w:pPr>
                  <w:r w:rsidRPr="00911976">
                    <w:rPr>
                      <w:b/>
                      <w:color w:val="000000" w:themeColor="text1"/>
                    </w:rPr>
                    <w:t>Total</w:t>
                  </w:r>
                </w:p>
              </w:tc>
              <w:tc>
                <w:tcPr>
                  <w:tcW w:w="992" w:type="dxa"/>
                  <w:tcBorders>
                    <w:bottom w:val="single" w:sz="4" w:space="0" w:color="auto"/>
                  </w:tcBorders>
                  <w:shd w:val="clear" w:color="auto" w:fill="FFFFFF" w:themeFill="background1"/>
                </w:tcPr>
                <w:p w:rsidR="00191F56" w:rsidRDefault="00191F56" w:rsidP="009167BF">
                  <w:pPr>
                    <w:rPr>
                      <w:color w:val="000000" w:themeColor="text1"/>
                    </w:rPr>
                  </w:pPr>
                </w:p>
              </w:tc>
              <w:tc>
                <w:tcPr>
                  <w:tcW w:w="1204" w:type="dxa"/>
                  <w:tcBorders>
                    <w:bottom w:val="single" w:sz="4" w:space="0" w:color="auto"/>
                  </w:tcBorders>
                  <w:shd w:val="clear" w:color="auto" w:fill="FFFFFF" w:themeFill="background1"/>
                </w:tcPr>
                <w:p w:rsidR="00191F56" w:rsidRDefault="002A49C6" w:rsidP="009167BF">
                  <w:pPr>
                    <w:rPr>
                      <w:color w:val="000000" w:themeColor="text1"/>
                    </w:rPr>
                  </w:pPr>
                  <w:r>
                    <w:rPr>
                      <w:color w:val="000000" w:themeColor="text1"/>
                    </w:rPr>
                    <w:t>7.80</w:t>
                  </w:r>
                </w:p>
              </w:tc>
              <w:tc>
                <w:tcPr>
                  <w:tcW w:w="1205" w:type="dxa"/>
                  <w:tcBorders>
                    <w:bottom w:val="single" w:sz="4" w:space="0" w:color="auto"/>
                  </w:tcBorders>
                  <w:shd w:val="clear" w:color="auto" w:fill="FFFFFF" w:themeFill="background1"/>
                </w:tcPr>
                <w:p w:rsidR="00191F56" w:rsidRDefault="002A49C6" w:rsidP="009167BF">
                  <w:pPr>
                    <w:rPr>
                      <w:color w:val="000000" w:themeColor="text1"/>
                    </w:rPr>
                  </w:pPr>
                  <w:r>
                    <w:rPr>
                      <w:color w:val="000000" w:themeColor="text1"/>
                    </w:rPr>
                    <w:t>1.02</w:t>
                  </w:r>
                </w:p>
              </w:tc>
              <w:tc>
                <w:tcPr>
                  <w:tcW w:w="1205" w:type="dxa"/>
                  <w:tcBorders>
                    <w:bottom w:val="single" w:sz="4" w:space="0" w:color="auto"/>
                  </w:tcBorders>
                  <w:shd w:val="clear" w:color="auto" w:fill="FFFFFF" w:themeFill="background1"/>
                </w:tcPr>
                <w:p w:rsidR="00191F56" w:rsidRDefault="00191F56" w:rsidP="009167BF">
                  <w:pPr>
                    <w:rPr>
                      <w:color w:val="000000" w:themeColor="text1"/>
                    </w:rPr>
                  </w:pPr>
                </w:p>
              </w:tc>
              <w:tc>
                <w:tcPr>
                  <w:tcW w:w="1205" w:type="dxa"/>
                  <w:tcBorders>
                    <w:bottom w:val="single" w:sz="4" w:space="0" w:color="auto"/>
                  </w:tcBorders>
                  <w:shd w:val="clear" w:color="auto" w:fill="FFFFFF" w:themeFill="background1"/>
                </w:tcPr>
                <w:p w:rsidR="00191F56" w:rsidRDefault="00191F56" w:rsidP="009167BF">
                  <w:pPr>
                    <w:rPr>
                      <w:color w:val="000000" w:themeColor="text1"/>
                    </w:rPr>
                  </w:pPr>
                </w:p>
              </w:tc>
              <w:tc>
                <w:tcPr>
                  <w:tcW w:w="1205" w:type="dxa"/>
                  <w:tcBorders>
                    <w:bottom w:val="single" w:sz="4" w:space="0" w:color="auto"/>
                  </w:tcBorders>
                  <w:shd w:val="clear" w:color="auto" w:fill="FFFFFF" w:themeFill="background1"/>
                </w:tcPr>
                <w:p w:rsidR="00191F56" w:rsidRDefault="00191F56" w:rsidP="009167BF">
                  <w:pPr>
                    <w:rPr>
                      <w:color w:val="000000" w:themeColor="text1"/>
                    </w:rPr>
                  </w:pPr>
                </w:p>
              </w:tc>
              <w:tc>
                <w:tcPr>
                  <w:tcW w:w="1205" w:type="dxa"/>
                  <w:tcBorders>
                    <w:bottom w:val="single" w:sz="4" w:space="0" w:color="auto"/>
                  </w:tcBorders>
                  <w:shd w:val="clear" w:color="auto" w:fill="FFFFFF" w:themeFill="background1"/>
                </w:tcPr>
                <w:p w:rsidR="00191F56" w:rsidRDefault="00BE7254" w:rsidP="009167BF">
                  <w:pPr>
                    <w:rPr>
                      <w:color w:val="000000" w:themeColor="text1"/>
                    </w:rPr>
                  </w:pPr>
                  <w:r>
                    <w:rPr>
                      <w:color w:val="000000" w:themeColor="text1"/>
                    </w:rPr>
                    <w:t>8.82</w:t>
                  </w:r>
                </w:p>
              </w:tc>
            </w:tr>
            <w:tr w:rsidR="00911976">
              <w:tc>
                <w:tcPr>
                  <w:tcW w:w="1980" w:type="dxa"/>
                  <w:tcBorders>
                    <w:bottom w:val="single" w:sz="4" w:space="0" w:color="auto"/>
                  </w:tcBorders>
                  <w:shd w:val="clear" w:color="auto" w:fill="F2F2F2" w:themeFill="background1" w:themeFillShade="F2"/>
                </w:tcPr>
                <w:p w:rsidR="00911976" w:rsidRPr="00911976" w:rsidRDefault="00911976" w:rsidP="009167BF">
                  <w:pPr>
                    <w:rPr>
                      <w:b/>
                      <w:color w:val="000000" w:themeColor="text1"/>
                    </w:rPr>
                  </w:pPr>
                </w:p>
              </w:tc>
              <w:tc>
                <w:tcPr>
                  <w:tcW w:w="992" w:type="dxa"/>
                  <w:tcBorders>
                    <w:bottom w:val="single" w:sz="4" w:space="0" w:color="auto"/>
                  </w:tcBorders>
                  <w:shd w:val="clear" w:color="auto" w:fill="F2F2F2" w:themeFill="background1" w:themeFillShade="F2"/>
                </w:tcPr>
                <w:p w:rsidR="00911976" w:rsidRDefault="00911976" w:rsidP="009167BF">
                  <w:pPr>
                    <w:rPr>
                      <w:color w:val="000000" w:themeColor="text1"/>
                    </w:rPr>
                  </w:pPr>
                </w:p>
              </w:tc>
              <w:tc>
                <w:tcPr>
                  <w:tcW w:w="1204" w:type="dxa"/>
                  <w:tcBorders>
                    <w:bottom w:val="single" w:sz="4" w:space="0" w:color="auto"/>
                  </w:tcBorders>
                  <w:shd w:val="clear" w:color="auto" w:fill="F2F2F2" w:themeFill="background1" w:themeFillShade="F2"/>
                </w:tcPr>
                <w:p w:rsidR="00911976" w:rsidRDefault="00911976" w:rsidP="009167BF">
                  <w:pPr>
                    <w:rPr>
                      <w:color w:val="000000" w:themeColor="text1"/>
                    </w:rPr>
                  </w:pPr>
                </w:p>
              </w:tc>
              <w:tc>
                <w:tcPr>
                  <w:tcW w:w="1205" w:type="dxa"/>
                  <w:tcBorders>
                    <w:bottom w:val="single" w:sz="4" w:space="0" w:color="auto"/>
                  </w:tcBorders>
                  <w:shd w:val="clear" w:color="auto" w:fill="F2F2F2" w:themeFill="background1" w:themeFillShade="F2"/>
                </w:tcPr>
                <w:p w:rsidR="00911976" w:rsidRDefault="00911976" w:rsidP="009167BF">
                  <w:pPr>
                    <w:rPr>
                      <w:color w:val="000000" w:themeColor="text1"/>
                    </w:rPr>
                  </w:pPr>
                </w:p>
              </w:tc>
              <w:tc>
                <w:tcPr>
                  <w:tcW w:w="1205" w:type="dxa"/>
                  <w:tcBorders>
                    <w:bottom w:val="single" w:sz="4" w:space="0" w:color="auto"/>
                  </w:tcBorders>
                  <w:shd w:val="clear" w:color="auto" w:fill="F2F2F2" w:themeFill="background1" w:themeFillShade="F2"/>
                </w:tcPr>
                <w:p w:rsidR="00911976" w:rsidRDefault="00911976" w:rsidP="009167BF">
                  <w:pPr>
                    <w:rPr>
                      <w:color w:val="000000" w:themeColor="text1"/>
                    </w:rPr>
                  </w:pPr>
                </w:p>
              </w:tc>
              <w:tc>
                <w:tcPr>
                  <w:tcW w:w="1205" w:type="dxa"/>
                  <w:tcBorders>
                    <w:bottom w:val="single" w:sz="4" w:space="0" w:color="auto"/>
                  </w:tcBorders>
                  <w:shd w:val="clear" w:color="auto" w:fill="F2F2F2" w:themeFill="background1" w:themeFillShade="F2"/>
                </w:tcPr>
                <w:p w:rsidR="00911976" w:rsidRDefault="00911976" w:rsidP="009167BF">
                  <w:pPr>
                    <w:rPr>
                      <w:color w:val="000000" w:themeColor="text1"/>
                    </w:rPr>
                  </w:pPr>
                </w:p>
              </w:tc>
              <w:tc>
                <w:tcPr>
                  <w:tcW w:w="1205" w:type="dxa"/>
                  <w:tcBorders>
                    <w:bottom w:val="single" w:sz="4" w:space="0" w:color="auto"/>
                  </w:tcBorders>
                  <w:shd w:val="clear" w:color="auto" w:fill="F2F2F2" w:themeFill="background1" w:themeFillShade="F2"/>
                </w:tcPr>
                <w:p w:rsidR="00911976" w:rsidRDefault="00911976" w:rsidP="009167BF">
                  <w:pPr>
                    <w:rPr>
                      <w:color w:val="000000" w:themeColor="text1"/>
                    </w:rPr>
                  </w:pPr>
                </w:p>
              </w:tc>
              <w:tc>
                <w:tcPr>
                  <w:tcW w:w="1205" w:type="dxa"/>
                  <w:tcBorders>
                    <w:bottom w:val="single" w:sz="4" w:space="0" w:color="auto"/>
                  </w:tcBorders>
                  <w:shd w:val="clear" w:color="auto" w:fill="F2F2F2" w:themeFill="background1" w:themeFillShade="F2"/>
                </w:tcPr>
                <w:p w:rsidR="00911976" w:rsidRDefault="00911976" w:rsidP="009167BF">
                  <w:pPr>
                    <w:rPr>
                      <w:color w:val="000000" w:themeColor="text1"/>
                    </w:rPr>
                  </w:pPr>
                </w:p>
              </w:tc>
            </w:tr>
            <w:tr w:rsidR="00911976">
              <w:tc>
                <w:tcPr>
                  <w:tcW w:w="1980" w:type="dxa"/>
                  <w:tcBorders>
                    <w:bottom w:val="single" w:sz="4" w:space="0" w:color="auto"/>
                  </w:tcBorders>
                  <w:shd w:val="clear" w:color="auto" w:fill="FFFFFF" w:themeFill="background1"/>
                </w:tcPr>
                <w:p w:rsidR="00911976" w:rsidRPr="00C96AA1" w:rsidRDefault="00911976" w:rsidP="00911976">
                  <w:pPr>
                    <w:rPr>
                      <w:b/>
                      <w:color w:val="000000" w:themeColor="text1"/>
                    </w:rPr>
                  </w:pPr>
                  <w:r>
                    <w:rPr>
                      <w:b/>
                      <w:color w:val="000000" w:themeColor="text1"/>
                    </w:rPr>
                    <w:t>(£m)</w:t>
                  </w:r>
                </w:p>
              </w:tc>
              <w:tc>
                <w:tcPr>
                  <w:tcW w:w="992" w:type="dxa"/>
                  <w:tcBorders>
                    <w:bottom w:val="single" w:sz="4" w:space="0" w:color="auto"/>
                  </w:tcBorders>
                  <w:shd w:val="clear" w:color="auto" w:fill="FFFFFF" w:themeFill="background1"/>
                </w:tcPr>
                <w:p w:rsidR="00911976" w:rsidRPr="00C96AA1" w:rsidRDefault="00911976" w:rsidP="00911976">
                  <w:pPr>
                    <w:rPr>
                      <w:b/>
                      <w:color w:val="000000" w:themeColor="text1"/>
                    </w:rPr>
                  </w:pPr>
                  <w:r w:rsidRPr="00911976">
                    <w:rPr>
                      <w:b/>
                      <w:color w:val="000000" w:themeColor="text1"/>
                      <w:sz w:val="16"/>
                    </w:rPr>
                    <w:t>Cost estimate status</w:t>
                  </w:r>
                </w:p>
              </w:tc>
              <w:tc>
                <w:tcPr>
                  <w:tcW w:w="1204" w:type="dxa"/>
                  <w:tcBorders>
                    <w:bottom w:val="single" w:sz="4" w:space="0" w:color="auto"/>
                  </w:tcBorders>
                  <w:shd w:val="clear" w:color="auto" w:fill="FFFFFF" w:themeFill="background1"/>
                </w:tcPr>
                <w:p w:rsidR="00911976" w:rsidRPr="00C96AA1" w:rsidRDefault="00911976" w:rsidP="00911976">
                  <w:pPr>
                    <w:rPr>
                      <w:b/>
                      <w:color w:val="000000" w:themeColor="text1"/>
                    </w:rPr>
                  </w:pPr>
                  <w:r w:rsidRPr="00C96AA1">
                    <w:rPr>
                      <w:b/>
                      <w:color w:val="000000" w:themeColor="text1"/>
                    </w:rPr>
                    <w:t>16/17</w:t>
                  </w:r>
                </w:p>
              </w:tc>
              <w:tc>
                <w:tcPr>
                  <w:tcW w:w="1205" w:type="dxa"/>
                  <w:tcBorders>
                    <w:bottom w:val="single" w:sz="4" w:space="0" w:color="auto"/>
                  </w:tcBorders>
                  <w:shd w:val="clear" w:color="auto" w:fill="FFFFFF" w:themeFill="background1"/>
                </w:tcPr>
                <w:p w:rsidR="00911976" w:rsidRPr="00C96AA1" w:rsidRDefault="00911976" w:rsidP="00911976">
                  <w:pPr>
                    <w:rPr>
                      <w:b/>
                      <w:color w:val="000000" w:themeColor="text1"/>
                    </w:rPr>
                  </w:pPr>
                  <w:r w:rsidRPr="00C96AA1">
                    <w:rPr>
                      <w:b/>
                      <w:color w:val="000000" w:themeColor="text1"/>
                    </w:rPr>
                    <w:t>17/18</w:t>
                  </w:r>
                </w:p>
              </w:tc>
              <w:tc>
                <w:tcPr>
                  <w:tcW w:w="1205" w:type="dxa"/>
                  <w:tcBorders>
                    <w:bottom w:val="single" w:sz="4" w:space="0" w:color="auto"/>
                  </w:tcBorders>
                  <w:shd w:val="clear" w:color="auto" w:fill="FFFFFF" w:themeFill="background1"/>
                </w:tcPr>
                <w:p w:rsidR="00911976" w:rsidRPr="00C96AA1" w:rsidRDefault="00911976" w:rsidP="00911976">
                  <w:pPr>
                    <w:rPr>
                      <w:b/>
                      <w:color w:val="000000" w:themeColor="text1"/>
                    </w:rPr>
                  </w:pPr>
                  <w:r w:rsidRPr="00C96AA1">
                    <w:rPr>
                      <w:b/>
                      <w:color w:val="000000" w:themeColor="text1"/>
                    </w:rPr>
                    <w:t>18/19</w:t>
                  </w:r>
                </w:p>
              </w:tc>
              <w:tc>
                <w:tcPr>
                  <w:tcW w:w="1205" w:type="dxa"/>
                  <w:tcBorders>
                    <w:bottom w:val="single" w:sz="4" w:space="0" w:color="auto"/>
                  </w:tcBorders>
                  <w:shd w:val="clear" w:color="auto" w:fill="FFFFFF" w:themeFill="background1"/>
                </w:tcPr>
                <w:p w:rsidR="00911976" w:rsidRPr="00C96AA1" w:rsidRDefault="00911976" w:rsidP="00911976">
                  <w:pPr>
                    <w:rPr>
                      <w:b/>
                      <w:color w:val="000000" w:themeColor="text1"/>
                    </w:rPr>
                  </w:pPr>
                  <w:r w:rsidRPr="00C96AA1">
                    <w:rPr>
                      <w:b/>
                      <w:color w:val="000000" w:themeColor="text1"/>
                    </w:rPr>
                    <w:t>19/20</w:t>
                  </w:r>
                </w:p>
              </w:tc>
              <w:tc>
                <w:tcPr>
                  <w:tcW w:w="1205" w:type="dxa"/>
                  <w:tcBorders>
                    <w:bottom w:val="single" w:sz="4" w:space="0" w:color="auto"/>
                  </w:tcBorders>
                  <w:shd w:val="clear" w:color="auto" w:fill="FFFFFF" w:themeFill="background1"/>
                </w:tcPr>
                <w:p w:rsidR="00911976" w:rsidRPr="00C96AA1" w:rsidRDefault="00911976" w:rsidP="00911976">
                  <w:pPr>
                    <w:rPr>
                      <w:b/>
                      <w:color w:val="000000" w:themeColor="text1"/>
                    </w:rPr>
                  </w:pPr>
                  <w:r w:rsidRPr="00C96AA1">
                    <w:rPr>
                      <w:b/>
                      <w:color w:val="000000" w:themeColor="text1"/>
                    </w:rPr>
                    <w:t>20/21</w:t>
                  </w:r>
                </w:p>
              </w:tc>
              <w:tc>
                <w:tcPr>
                  <w:tcW w:w="1205" w:type="dxa"/>
                  <w:tcBorders>
                    <w:bottom w:val="single" w:sz="4" w:space="0" w:color="auto"/>
                  </w:tcBorders>
                  <w:shd w:val="clear" w:color="auto" w:fill="FFFFFF" w:themeFill="background1"/>
                </w:tcPr>
                <w:p w:rsidR="00911976" w:rsidRPr="00C96AA1" w:rsidRDefault="00911976" w:rsidP="00911976">
                  <w:pPr>
                    <w:rPr>
                      <w:b/>
                      <w:color w:val="000000" w:themeColor="text1"/>
                    </w:rPr>
                  </w:pPr>
                  <w:r w:rsidRPr="00C96AA1">
                    <w:rPr>
                      <w:b/>
                      <w:color w:val="000000" w:themeColor="text1"/>
                    </w:rPr>
                    <w:t>Total</w:t>
                  </w:r>
                </w:p>
              </w:tc>
            </w:tr>
            <w:tr w:rsidR="00582F47">
              <w:tc>
                <w:tcPr>
                  <w:tcW w:w="10201" w:type="dxa"/>
                  <w:gridSpan w:val="8"/>
                  <w:shd w:val="clear" w:color="auto" w:fill="000000" w:themeFill="text1"/>
                </w:tcPr>
                <w:p w:rsidR="00582F47" w:rsidRPr="00911976" w:rsidRDefault="00582F47" w:rsidP="009167BF">
                  <w:pPr>
                    <w:rPr>
                      <w:i/>
                      <w:color w:val="FFFFFF" w:themeColor="background1"/>
                    </w:rPr>
                  </w:pPr>
                  <w:r w:rsidRPr="00582F47">
                    <w:rPr>
                      <w:b/>
                      <w:color w:val="FFFFFF" w:themeColor="background1"/>
                    </w:rPr>
                    <w:t>Costs</w:t>
                  </w:r>
                  <w:r w:rsidR="00911976">
                    <w:rPr>
                      <w:b/>
                      <w:color w:val="FFFFFF" w:themeColor="background1"/>
                    </w:rPr>
                    <w:t xml:space="preserve"> - </w:t>
                  </w:r>
                  <w:r w:rsidR="00911976" w:rsidRPr="00191F56">
                    <w:rPr>
                      <w:i/>
                      <w:color w:val="FFFFFF" w:themeColor="background1"/>
                    </w:rPr>
                    <w:t>List here the elements of gross costs, excluding optimism bias.</w:t>
                  </w:r>
                </w:p>
              </w:tc>
            </w:tr>
            <w:tr w:rsidR="00191F56">
              <w:tc>
                <w:tcPr>
                  <w:tcW w:w="1980" w:type="dxa"/>
                  <w:shd w:val="clear" w:color="auto" w:fill="FFFFFF" w:themeFill="background1"/>
                </w:tcPr>
                <w:p w:rsidR="00191F56" w:rsidRDefault="00EE07BF" w:rsidP="009167BF">
                  <w:pPr>
                    <w:rPr>
                      <w:color w:val="000000" w:themeColor="text1"/>
                    </w:rPr>
                  </w:pPr>
                  <w:r>
                    <w:rPr>
                      <w:color w:val="000000" w:themeColor="text1"/>
                    </w:rPr>
                    <w:t>e.g.</w:t>
                  </w:r>
                </w:p>
              </w:tc>
              <w:tc>
                <w:tcPr>
                  <w:tcW w:w="992" w:type="dxa"/>
                  <w:shd w:val="clear" w:color="auto" w:fill="FFFFFF" w:themeFill="background1"/>
                </w:tcPr>
                <w:p w:rsidR="00191F56" w:rsidRDefault="00191F56" w:rsidP="009167BF">
                  <w:pPr>
                    <w:rPr>
                      <w:color w:val="000000" w:themeColor="text1"/>
                    </w:rPr>
                  </w:pPr>
                </w:p>
              </w:tc>
              <w:tc>
                <w:tcPr>
                  <w:tcW w:w="1204" w:type="dxa"/>
                  <w:shd w:val="clear" w:color="auto" w:fill="FFFFFF" w:themeFill="background1"/>
                </w:tcPr>
                <w:p w:rsidR="00191F56" w:rsidRDefault="00191F56" w:rsidP="009167BF">
                  <w:pPr>
                    <w:rPr>
                      <w:color w:val="000000" w:themeColor="text1"/>
                    </w:rPr>
                  </w:pPr>
                </w:p>
              </w:tc>
              <w:tc>
                <w:tcPr>
                  <w:tcW w:w="1205" w:type="dxa"/>
                  <w:shd w:val="clear" w:color="auto" w:fill="FFFFFF" w:themeFill="background1"/>
                </w:tcPr>
                <w:p w:rsidR="00191F56" w:rsidRDefault="00191F56" w:rsidP="009167BF">
                  <w:pPr>
                    <w:rPr>
                      <w:color w:val="000000" w:themeColor="text1"/>
                    </w:rPr>
                  </w:pPr>
                </w:p>
              </w:tc>
              <w:tc>
                <w:tcPr>
                  <w:tcW w:w="1205" w:type="dxa"/>
                  <w:shd w:val="clear" w:color="auto" w:fill="FFFFFF" w:themeFill="background1"/>
                </w:tcPr>
                <w:p w:rsidR="00191F56" w:rsidRDefault="00191F56" w:rsidP="009167BF">
                  <w:pPr>
                    <w:rPr>
                      <w:color w:val="000000" w:themeColor="text1"/>
                    </w:rPr>
                  </w:pPr>
                </w:p>
              </w:tc>
              <w:tc>
                <w:tcPr>
                  <w:tcW w:w="1205" w:type="dxa"/>
                  <w:shd w:val="clear" w:color="auto" w:fill="FFFFFF" w:themeFill="background1"/>
                </w:tcPr>
                <w:p w:rsidR="00191F56" w:rsidRDefault="00191F56" w:rsidP="009167BF">
                  <w:pPr>
                    <w:rPr>
                      <w:color w:val="000000" w:themeColor="text1"/>
                    </w:rPr>
                  </w:pPr>
                </w:p>
              </w:tc>
              <w:tc>
                <w:tcPr>
                  <w:tcW w:w="1205" w:type="dxa"/>
                  <w:shd w:val="clear" w:color="auto" w:fill="FFFFFF" w:themeFill="background1"/>
                </w:tcPr>
                <w:p w:rsidR="00191F56" w:rsidRDefault="00191F56" w:rsidP="009167BF">
                  <w:pPr>
                    <w:rPr>
                      <w:color w:val="000000" w:themeColor="text1"/>
                    </w:rPr>
                  </w:pPr>
                </w:p>
              </w:tc>
              <w:tc>
                <w:tcPr>
                  <w:tcW w:w="1205" w:type="dxa"/>
                  <w:shd w:val="clear" w:color="auto" w:fill="FFFFFF" w:themeFill="background1"/>
                </w:tcPr>
                <w:p w:rsidR="00191F56" w:rsidRDefault="00191F56" w:rsidP="009167BF">
                  <w:pPr>
                    <w:rPr>
                      <w:color w:val="000000" w:themeColor="text1"/>
                    </w:rPr>
                  </w:pPr>
                </w:p>
              </w:tc>
            </w:tr>
            <w:tr w:rsidR="00191F56">
              <w:tc>
                <w:tcPr>
                  <w:tcW w:w="1980" w:type="dxa"/>
                  <w:shd w:val="clear" w:color="auto" w:fill="FFFFFF" w:themeFill="background1"/>
                </w:tcPr>
                <w:p w:rsidR="00191F56" w:rsidRDefault="00EE07BF" w:rsidP="009167BF">
                  <w:pPr>
                    <w:rPr>
                      <w:color w:val="000000" w:themeColor="text1"/>
                    </w:rPr>
                  </w:pPr>
                  <w:r>
                    <w:rPr>
                      <w:color w:val="000000" w:themeColor="text1"/>
                    </w:rPr>
                    <w:t>Procurement</w:t>
                  </w:r>
                </w:p>
              </w:tc>
              <w:tc>
                <w:tcPr>
                  <w:tcW w:w="992" w:type="dxa"/>
                  <w:shd w:val="clear" w:color="auto" w:fill="FFFFFF" w:themeFill="background1"/>
                </w:tcPr>
                <w:p w:rsidR="00191F56" w:rsidRDefault="00191F56" w:rsidP="009167BF">
                  <w:pPr>
                    <w:rPr>
                      <w:color w:val="000000" w:themeColor="text1"/>
                    </w:rPr>
                  </w:pPr>
                </w:p>
              </w:tc>
              <w:tc>
                <w:tcPr>
                  <w:tcW w:w="1204" w:type="dxa"/>
                  <w:shd w:val="clear" w:color="auto" w:fill="FFFFFF" w:themeFill="background1"/>
                </w:tcPr>
                <w:p w:rsidR="00191F56" w:rsidRDefault="00191F56" w:rsidP="009167BF">
                  <w:pPr>
                    <w:rPr>
                      <w:color w:val="000000" w:themeColor="text1"/>
                    </w:rPr>
                  </w:pPr>
                </w:p>
              </w:tc>
              <w:tc>
                <w:tcPr>
                  <w:tcW w:w="1205" w:type="dxa"/>
                  <w:shd w:val="clear" w:color="auto" w:fill="FFFFFF" w:themeFill="background1"/>
                </w:tcPr>
                <w:p w:rsidR="00191F56" w:rsidRDefault="00191F56" w:rsidP="009167BF">
                  <w:pPr>
                    <w:rPr>
                      <w:color w:val="000000" w:themeColor="text1"/>
                    </w:rPr>
                  </w:pPr>
                </w:p>
              </w:tc>
              <w:tc>
                <w:tcPr>
                  <w:tcW w:w="1205" w:type="dxa"/>
                  <w:shd w:val="clear" w:color="auto" w:fill="FFFFFF" w:themeFill="background1"/>
                </w:tcPr>
                <w:p w:rsidR="00191F56" w:rsidRDefault="00191F56" w:rsidP="009167BF">
                  <w:pPr>
                    <w:rPr>
                      <w:color w:val="000000" w:themeColor="text1"/>
                    </w:rPr>
                  </w:pPr>
                </w:p>
              </w:tc>
              <w:tc>
                <w:tcPr>
                  <w:tcW w:w="1205" w:type="dxa"/>
                  <w:shd w:val="clear" w:color="auto" w:fill="FFFFFF" w:themeFill="background1"/>
                </w:tcPr>
                <w:p w:rsidR="00191F56" w:rsidRDefault="00191F56" w:rsidP="009167BF">
                  <w:pPr>
                    <w:rPr>
                      <w:color w:val="000000" w:themeColor="text1"/>
                    </w:rPr>
                  </w:pPr>
                </w:p>
              </w:tc>
              <w:tc>
                <w:tcPr>
                  <w:tcW w:w="1205" w:type="dxa"/>
                  <w:shd w:val="clear" w:color="auto" w:fill="FFFFFF" w:themeFill="background1"/>
                </w:tcPr>
                <w:p w:rsidR="00191F56" w:rsidRDefault="00191F56" w:rsidP="009167BF">
                  <w:pPr>
                    <w:rPr>
                      <w:color w:val="000000" w:themeColor="text1"/>
                    </w:rPr>
                  </w:pPr>
                </w:p>
              </w:tc>
              <w:tc>
                <w:tcPr>
                  <w:tcW w:w="1205" w:type="dxa"/>
                  <w:shd w:val="clear" w:color="auto" w:fill="FFFFFF" w:themeFill="background1"/>
                </w:tcPr>
                <w:p w:rsidR="00191F56" w:rsidRDefault="00191F56" w:rsidP="009167BF">
                  <w:pPr>
                    <w:rPr>
                      <w:color w:val="000000" w:themeColor="text1"/>
                    </w:rPr>
                  </w:pPr>
                </w:p>
              </w:tc>
            </w:tr>
            <w:tr w:rsidR="00911976">
              <w:tc>
                <w:tcPr>
                  <w:tcW w:w="1980" w:type="dxa"/>
                  <w:shd w:val="clear" w:color="auto" w:fill="FFFFFF" w:themeFill="background1"/>
                </w:tcPr>
                <w:p w:rsidR="00911976" w:rsidRDefault="00EE07BF" w:rsidP="009167BF">
                  <w:pPr>
                    <w:rPr>
                      <w:color w:val="000000" w:themeColor="text1"/>
                    </w:rPr>
                  </w:pPr>
                  <w:r>
                    <w:rPr>
                      <w:color w:val="000000" w:themeColor="text1"/>
                    </w:rPr>
                    <w:t xml:space="preserve">Feasibility </w:t>
                  </w:r>
                </w:p>
              </w:tc>
              <w:tc>
                <w:tcPr>
                  <w:tcW w:w="992" w:type="dxa"/>
                  <w:shd w:val="clear" w:color="auto" w:fill="FFFFFF" w:themeFill="background1"/>
                </w:tcPr>
                <w:p w:rsidR="00911976" w:rsidRDefault="00911976" w:rsidP="009167BF">
                  <w:pPr>
                    <w:rPr>
                      <w:color w:val="000000" w:themeColor="text1"/>
                    </w:rPr>
                  </w:pPr>
                </w:p>
              </w:tc>
              <w:tc>
                <w:tcPr>
                  <w:tcW w:w="1204" w:type="dxa"/>
                  <w:shd w:val="clear" w:color="auto" w:fill="FFFFFF" w:themeFill="background1"/>
                </w:tcPr>
                <w:p w:rsidR="00911976" w:rsidRDefault="00911976" w:rsidP="009167BF">
                  <w:pPr>
                    <w:rPr>
                      <w:color w:val="000000" w:themeColor="text1"/>
                    </w:rPr>
                  </w:pPr>
                </w:p>
              </w:tc>
              <w:tc>
                <w:tcPr>
                  <w:tcW w:w="1205" w:type="dxa"/>
                  <w:shd w:val="clear" w:color="auto" w:fill="FFFFFF" w:themeFill="background1"/>
                </w:tcPr>
                <w:p w:rsidR="00911976" w:rsidRDefault="00911976" w:rsidP="009167BF">
                  <w:pPr>
                    <w:rPr>
                      <w:color w:val="000000" w:themeColor="text1"/>
                    </w:rPr>
                  </w:pPr>
                </w:p>
              </w:tc>
              <w:tc>
                <w:tcPr>
                  <w:tcW w:w="1205" w:type="dxa"/>
                  <w:shd w:val="clear" w:color="auto" w:fill="FFFFFF" w:themeFill="background1"/>
                </w:tcPr>
                <w:p w:rsidR="00911976" w:rsidRDefault="00911976" w:rsidP="009167BF">
                  <w:pPr>
                    <w:rPr>
                      <w:color w:val="000000" w:themeColor="text1"/>
                    </w:rPr>
                  </w:pPr>
                </w:p>
              </w:tc>
              <w:tc>
                <w:tcPr>
                  <w:tcW w:w="1205" w:type="dxa"/>
                  <w:shd w:val="clear" w:color="auto" w:fill="FFFFFF" w:themeFill="background1"/>
                </w:tcPr>
                <w:p w:rsidR="00911976" w:rsidRDefault="00911976" w:rsidP="009167BF">
                  <w:pPr>
                    <w:rPr>
                      <w:color w:val="000000" w:themeColor="text1"/>
                    </w:rPr>
                  </w:pPr>
                </w:p>
              </w:tc>
              <w:tc>
                <w:tcPr>
                  <w:tcW w:w="1205" w:type="dxa"/>
                  <w:shd w:val="clear" w:color="auto" w:fill="FFFFFF" w:themeFill="background1"/>
                </w:tcPr>
                <w:p w:rsidR="00911976" w:rsidRDefault="00911976" w:rsidP="009167BF">
                  <w:pPr>
                    <w:rPr>
                      <w:color w:val="000000" w:themeColor="text1"/>
                    </w:rPr>
                  </w:pPr>
                </w:p>
              </w:tc>
              <w:tc>
                <w:tcPr>
                  <w:tcW w:w="1205" w:type="dxa"/>
                  <w:shd w:val="clear" w:color="auto" w:fill="FFFFFF" w:themeFill="background1"/>
                </w:tcPr>
                <w:p w:rsidR="00911976" w:rsidRDefault="00911976" w:rsidP="009167BF">
                  <w:pPr>
                    <w:rPr>
                      <w:color w:val="000000" w:themeColor="text1"/>
                    </w:rPr>
                  </w:pPr>
                </w:p>
              </w:tc>
            </w:tr>
            <w:tr w:rsidR="00911976">
              <w:tc>
                <w:tcPr>
                  <w:tcW w:w="1980" w:type="dxa"/>
                  <w:shd w:val="clear" w:color="auto" w:fill="FFFFFF" w:themeFill="background1"/>
                </w:tcPr>
                <w:p w:rsidR="00911976" w:rsidRDefault="00EE07BF" w:rsidP="009167BF">
                  <w:pPr>
                    <w:rPr>
                      <w:color w:val="000000" w:themeColor="text1"/>
                    </w:rPr>
                  </w:pPr>
                  <w:r>
                    <w:rPr>
                      <w:color w:val="000000" w:themeColor="text1"/>
                    </w:rPr>
                    <w:t>Detailed design</w:t>
                  </w:r>
                </w:p>
              </w:tc>
              <w:tc>
                <w:tcPr>
                  <w:tcW w:w="992" w:type="dxa"/>
                  <w:shd w:val="clear" w:color="auto" w:fill="FFFFFF" w:themeFill="background1"/>
                </w:tcPr>
                <w:p w:rsidR="00911976" w:rsidRDefault="00911976" w:rsidP="009167BF">
                  <w:pPr>
                    <w:rPr>
                      <w:color w:val="000000" w:themeColor="text1"/>
                    </w:rPr>
                  </w:pPr>
                </w:p>
              </w:tc>
              <w:tc>
                <w:tcPr>
                  <w:tcW w:w="1204" w:type="dxa"/>
                  <w:shd w:val="clear" w:color="auto" w:fill="FFFFFF" w:themeFill="background1"/>
                </w:tcPr>
                <w:p w:rsidR="00911976" w:rsidRDefault="00BE7254" w:rsidP="009167BF">
                  <w:pPr>
                    <w:rPr>
                      <w:color w:val="000000" w:themeColor="text1"/>
                    </w:rPr>
                  </w:pPr>
                  <w:r>
                    <w:rPr>
                      <w:color w:val="000000" w:themeColor="text1"/>
                    </w:rPr>
                    <w:t>0.1</w:t>
                  </w:r>
                  <w:r w:rsidR="002A49C6">
                    <w:rPr>
                      <w:color w:val="000000" w:themeColor="text1"/>
                    </w:rPr>
                    <w:t>0</w:t>
                  </w:r>
                </w:p>
              </w:tc>
              <w:tc>
                <w:tcPr>
                  <w:tcW w:w="1205" w:type="dxa"/>
                  <w:shd w:val="clear" w:color="auto" w:fill="FFFFFF" w:themeFill="background1"/>
                </w:tcPr>
                <w:p w:rsidR="00911976" w:rsidRDefault="00911976" w:rsidP="009167BF">
                  <w:pPr>
                    <w:rPr>
                      <w:color w:val="000000" w:themeColor="text1"/>
                    </w:rPr>
                  </w:pPr>
                </w:p>
              </w:tc>
              <w:tc>
                <w:tcPr>
                  <w:tcW w:w="1205" w:type="dxa"/>
                  <w:shd w:val="clear" w:color="auto" w:fill="FFFFFF" w:themeFill="background1"/>
                </w:tcPr>
                <w:p w:rsidR="00911976" w:rsidRDefault="00911976" w:rsidP="009167BF">
                  <w:pPr>
                    <w:rPr>
                      <w:color w:val="000000" w:themeColor="text1"/>
                    </w:rPr>
                  </w:pPr>
                </w:p>
              </w:tc>
              <w:tc>
                <w:tcPr>
                  <w:tcW w:w="1205" w:type="dxa"/>
                  <w:shd w:val="clear" w:color="auto" w:fill="FFFFFF" w:themeFill="background1"/>
                </w:tcPr>
                <w:p w:rsidR="00911976" w:rsidRDefault="00911976" w:rsidP="009167BF">
                  <w:pPr>
                    <w:rPr>
                      <w:color w:val="000000" w:themeColor="text1"/>
                    </w:rPr>
                  </w:pPr>
                </w:p>
              </w:tc>
              <w:tc>
                <w:tcPr>
                  <w:tcW w:w="1205" w:type="dxa"/>
                  <w:shd w:val="clear" w:color="auto" w:fill="FFFFFF" w:themeFill="background1"/>
                </w:tcPr>
                <w:p w:rsidR="00911976" w:rsidRDefault="00911976" w:rsidP="009167BF">
                  <w:pPr>
                    <w:rPr>
                      <w:color w:val="000000" w:themeColor="text1"/>
                    </w:rPr>
                  </w:pPr>
                </w:p>
              </w:tc>
              <w:tc>
                <w:tcPr>
                  <w:tcW w:w="1205" w:type="dxa"/>
                  <w:shd w:val="clear" w:color="auto" w:fill="FFFFFF" w:themeFill="background1"/>
                </w:tcPr>
                <w:p w:rsidR="00911976" w:rsidRDefault="002A49C6" w:rsidP="009167BF">
                  <w:pPr>
                    <w:rPr>
                      <w:color w:val="000000" w:themeColor="text1"/>
                    </w:rPr>
                  </w:pPr>
                  <w:r>
                    <w:rPr>
                      <w:color w:val="000000" w:themeColor="text1"/>
                    </w:rPr>
                    <w:t>0.10</w:t>
                  </w:r>
                </w:p>
              </w:tc>
            </w:tr>
            <w:tr w:rsidR="00911976">
              <w:tc>
                <w:tcPr>
                  <w:tcW w:w="1980" w:type="dxa"/>
                  <w:shd w:val="clear" w:color="auto" w:fill="FFFFFF" w:themeFill="background1"/>
                </w:tcPr>
                <w:p w:rsidR="00911976" w:rsidRDefault="00EE07BF" w:rsidP="009167BF">
                  <w:pPr>
                    <w:rPr>
                      <w:color w:val="000000" w:themeColor="text1"/>
                    </w:rPr>
                  </w:pPr>
                  <w:r>
                    <w:rPr>
                      <w:color w:val="000000" w:themeColor="text1"/>
                    </w:rPr>
                    <w:t>Management</w:t>
                  </w:r>
                </w:p>
              </w:tc>
              <w:tc>
                <w:tcPr>
                  <w:tcW w:w="992" w:type="dxa"/>
                  <w:shd w:val="clear" w:color="auto" w:fill="FFFFFF" w:themeFill="background1"/>
                </w:tcPr>
                <w:p w:rsidR="00911976" w:rsidRDefault="00911976" w:rsidP="009167BF">
                  <w:pPr>
                    <w:rPr>
                      <w:color w:val="000000" w:themeColor="text1"/>
                    </w:rPr>
                  </w:pPr>
                </w:p>
              </w:tc>
              <w:tc>
                <w:tcPr>
                  <w:tcW w:w="1204" w:type="dxa"/>
                  <w:shd w:val="clear" w:color="auto" w:fill="FFFFFF" w:themeFill="background1"/>
                </w:tcPr>
                <w:p w:rsidR="00911976" w:rsidRDefault="00BE7254" w:rsidP="009167BF">
                  <w:pPr>
                    <w:rPr>
                      <w:color w:val="000000" w:themeColor="text1"/>
                    </w:rPr>
                  </w:pPr>
                  <w:r>
                    <w:rPr>
                      <w:color w:val="000000" w:themeColor="text1"/>
                    </w:rPr>
                    <w:t>0.1</w:t>
                  </w:r>
                  <w:r w:rsidR="002A49C6">
                    <w:rPr>
                      <w:color w:val="000000" w:themeColor="text1"/>
                    </w:rPr>
                    <w:t>0</w:t>
                  </w:r>
                </w:p>
              </w:tc>
              <w:tc>
                <w:tcPr>
                  <w:tcW w:w="1205" w:type="dxa"/>
                  <w:shd w:val="clear" w:color="auto" w:fill="FFFFFF" w:themeFill="background1"/>
                </w:tcPr>
                <w:p w:rsidR="00911976" w:rsidRDefault="00911976" w:rsidP="009167BF">
                  <w:pPr>
                    <w:rPr>
                      <w:color w:val="000000" w:themeColor="text1"/>
                    </w:rPr>
                  </w:pPr>
                </w:p>
              </w:tc>
              <w:tc>
                <w:tcPr>
                  <w:tcW w:w="1205" w:type="dxa"/>
                  <w:shd w:val="clear" w:color="auto" w:fill="FFFFFF" w:themeFill="background1"/>
                </w:tcPr>
                <w:p w:rsidR="00911976" w:rsidRDefault="00911976" w:rsidP="009167BF">
                  <w:pPr>
                    <w:rPr>
                      <w:color w:val="000000" w:themeColor="text1"/>
                    </w:rPr>
                  </w:pPr>
                </w:p>
              </w:tc>
              <w:tc>
                <w:tcPr>
                  <w:tcW w:w="1205" w:type="dxa"/>
                  <w:shd w:val="clear" w:color="auto" w:fill="FFFFFF" w:themeFill="background1"/>
                </w:tcPr>
                <w:p w:rsidR="00911976" w:rsidRDefault="00911976" w:rsidP="009167BF">
                  <w:pPr>
                    <w:rPr>
                      <w:color w:val="000000" w:themeColor="text1"/>
                    </w:rPr>
                  </w:pPr>
                </w:p>
              </w:tc>
              <w:tc>
                <w:tcPr>
                  <w:tcW w:w="1205" w:type="dxa"/>
                  <w:shd w:val="clear" w:color="auto" w:fill="FFFFFF" w:themeFill="background1"/>
                </w:tcPr>
                <w:p w:rsidR="00911976" w:rsidRDefault="00911976" w:rsidP="009167BF">
                  <w:pPr>
                    <w:rPr>
                      <w:color w:val="000000" w:themeColor="text1"/>
                    </w:rPr>
                  </w:pPr>
                </w:p>
              </w:tc>
              <w:tc>
                <w:tcPr>
                  <w:tcW w:w="1205" w:type="dxa"/>
                  <w:shd w:val="clear" w:color="auto" w:fill="FFFFFF" w:themeFill="background1"/>
                </w:tcPr>
                <w:p w:rsidR="00911976" w:rsidRDefault="002A49C6" w:rsidP="009167BF">
                  <w:pPr>
                    <w:rPr>
                      <w:color w:val="000000" w:themeColor="text1"/>
                    </w:rPr>
                  </w:pPr>
                  <w:r>
                    <w:rPr>
                      <w:color w:val="000000" w:themeColor="text1"/>
                    </w:rPr>
                    <w:t>0.10</w:t>
                  </w:r>
                </w:p>
              </w:tc>
            </w:tr>
            <w:tr w:rsidR="00911976">
              <w:tc>
                <w:tcPr>
                  <w:tcW w:w="1980" w:type="dxa"/>
                  <w:shd w:val="clear" w:color="auto" w:fill="FFFFFF" w:themeFill="background1"/>
                </w:tcPr>
                <w:p w:rsidR="00911976" w:rsidRDefault="00EE07BF" w:rsidP="009167BF">
                  <w:pPr>
                    <w:rPr>
                      <w:color w:val="000000" w:themeColor="text1"/>
                    </w:rPr>
                  </w:pPr>
                  <w:r>
                    <w:rPr>
                      <w:color w:val="000000" w:themeColor="text1"/>
                    </w:rPr>
                    <w:t>Construction</w:t>
                  </w:r>
                </w:p>
              </w:tc>
              <w:tc>
                <w:tcPr>
                  <w:tcW w:w="992" w:type="dxa"/>
                  <w:shd w:val="clear" w:color="auto" w:fill="FFFFFF" w:themeFill="background1"/>
                </w:tcPr>
                <w:p w:rsidR="00911976" w:rsidRDefault="00911976" w:rsidP="009167BF">
                  <w:pPr>
                    <w:rPr>
                      <w:color w:val="000000" w:themeColor="text1"/>
                    </w:rPr>
                  </w:pPr>
                </w:p>
              </w:tc>
              <w:tc>
                <w:tcPr>
                  <w:tcW w:w="1204" w:type="dxa"/>
                  <w:shd w:val="clear" w:color="auto" w:fill="FFFFFF" w:themeFill="background1"/>
                </w:tcPr>
                <w:p w:rsidR="00911976" w:rsidRDefault="002A49C6" w:rsidP="009167BF">
                  <w:pPr>
                    <w:rPr>
                      <w:color w:val="000000" w:themeColor="text1"/>
                    </w:rPr>
                  </w:pPr>
                  <w:r>
                    <w:rPr>
                      <w:color w:val="000000" w:themeColor="text1"/>
                    </w:rPr>
                    <w:t>7.30</w:t>
                  </w:r>
                </w:p>
              </w:tc>
              <w:tc>
                <w:tcPr>
                  <w:tcW w:w="1205" w:type="dxa"/>
                  <w:shd w:val="clear" w:color="auto" w:fill="FFFFFF" w:themeFill="background1"/>
                </w:tcPr>
                <w:p w:rsidR="00911976" w:rsidRDefault="002A49C6" w:rsidP="009167BF">
                  <w:pPr>
                    <w:rPr>
                      <w:color w:val="000000" w:themeColor="text1"/>
                    </w:rPr>
                  </w:pPr>
                  <w:r>
                    <w:rPr>
                      <w:color w:val="000000" w:themeColor="text1"/>
                    </w:rPr>
                    <w:t>0.97</w:t>
                  </w:r>
                </w:p>
              </w:tc>
              <w:tc>
                <w:tcPr>
                  <w:tcW w:w="1205" w:type="dxa"/>
                  <w:shd w:val="clear" w:color="auto" w:fill="FFFFFF" w:themeFill="background1"/>
                </w:tcPr>
                <w:p w:rsidR="00911976" w:rsidRDefault="00911976" w:rsidP="009167BF">
                  <w:pPr>
                    <w:rPr>
                      <w:color w:val="000000" w:themeColor="text1"/>
                    </w:rPr>
                  </w:pPr>
                </w:p>
              </w:tc>
              <w:tc>
                <w:tcPr>
                  <w:tcW w:w="1205" w:type="dxa"/>
                  <w:shd w:val="clear" w:color="auto" w:fill="FFFFFF" w:themeFill="background1"/>
                </w:tcPr>
                <w:p w:rsidR="00911976" w:rsidRDefault="00911976" w:rsidP="009167BF">
                  <w:pPr>
                    <w:rPr>
                      <w:color w:val="000000" w:themeColor="text1"/>
                    </w:rPr>
                  </w:pPr>
                </w:p>
              </w:tc>
              <w:tc>
                <w:tcPr>
                  <w:tcW w:w="1205" w:type="dxa"/>
                  <w:shd w:val="clear" w:color="auto" w:fill="FFFFFF" w:themeFill="background1"/>
                </w:tcPr>
                <w:p w:rsidR="00911976" w:rsidRDefault="00911976" w:rsidP="009167BF">
                  <w:pPr>
                    <w:rPr>
                      <w:color w:val="000000" w:themeColor="text1"/>
                    </w:rPr>
                  </w:pPr>
                </w:p>
              </w:tc>
              <w:tc>
                <w:tcPr>
                  <w:tcW w:w="1205" w:type="dxa"/>
                  <w:shd w:val="clear" w:color="auto" w:fill="FFFFFF" w:themeFill="background1"/>
                </w:tcPr>
                <w:p w:rsidR="00911976" w:rsidRDefault="002A49C6" w:rsidP="009167BF">
                  <w:pPr>
                    <w:rPr>
                      <w:color w:val="000000" w:themeColor="text1"/>
                    </w:rPr>
                  </w:pPr>
                  <w:r>
                    <w:rPr>
                      <w:color w:val="000000" w:themeColor="text1"/>
                    </w:rPr>
                    <w:t>8.27</w:t>
                  </w:r>
                </w:p>
              </w:tc>
            </w:tr>
            <w:tr w:rsidR="00191F56">
              <w:tc>
                <w:tcPr>
                  <w:tcW w:w="1980" w:type="dxa"/>
                  <w:shd w:val="clear" w:color="auto" w:fill="FFFFFF" w:themeFill="background1"/>
                </w:tcPr>
                <w:p w:rsidR="00191F56" w:rsidRDefault="00EE07BF" w:rsidP="009167BF">
                  <w:pPr>
                    <w:rPr>
                      <w:color w:val="000000" w:themeColor="text1"/>
                    </w:rPr>
                  </w:pPr>
                  <w:r>
                    <w:rPr>
                      <w:color w:val="000000" w:themeColor="text1"/>
                    </w:rPr>
                    <w:t xml:space="preserve">Contingency </w:t>
                  </w:r>
                </w:p>
              </w:tc>
              <w:tc>
                <w:tcPr>
                  <w:tcW w:w="992" w:type="dxa"/>
                  <w:shd w:val="clear" w:color="auto" w:fill="FFFFFF" w:themeFill="background1"/>
                </w:tcPr>
                <w:p w:rsidR="00191F56" w:rsidRDefault="00191F56" w:rsidP="009167BF">
                  <w:pPr>
                    <w:rPr>
                      <w:color w:val="000000" w:themeColor="text1"/>
                    </w:rPr>
                  </w:pPr>
                </w:p>
              </w:tc>
              <w:tc>
                <w:tcPr>
                  <w:tcW w:w="1204" w:type="dxa"/>
                  <w:shd w:val="clear" w:color="auto" w:fill="FFFFFF" w:themeFill="background1"/>
                </w:tcPr>
                <w:p w:rsidR="00191F56" w:rsidRDefault="002A49C6" w:rsidP="009167BF">
                  <w:pPr>
                    <w:rPr>
                      <w:color w:val="000000" w:themeColor="text1"/>
                    </w:rPr>
                  </w:pPr>
                  <w:r>
                    <w:rPr>
                      <w:color w:val="000000" w:themeColor="text1"/>
                    </w:rPr>
                    <w:t>0.30</w:t>
                  </w:r>
                </w:p>
              </w:tc>
              <w:tc>
                <w:tcPr>
                  <w:tcW w:w="1205" w:type="dxa"/>
                  <w:shd w:val="clear" w:color="auto" w:fill="FFFFFF" w:themeFill="background1"/>
                </w:tcPr>
                <w:p w:rsidR="00191F56" w:rsidRDefault="002A49C6" w:rsidP="009167BF">
                  <w:pPr>
                    <w:rPr>
                      <w:color w:val="000000" w:themeColor="text1"/>
                    </w:rPr>
                  </w:pPr>
                  <w:r>
                    <w:rPr>
                      <w:color w:val="000000" w:themeColor="text1"/>
                    </w:rPr>
                    <w:t>0.05</w:t>
                  </w:r>
                </w:p>
              </w:tc>
              <w:tc>
                <w:tcPr>
                  <w:tcW w:w="1205" w:type="dxa"/>
                  <w:shd w:val="clear" w:color="auto" w:fill="FFFFFF" w:themeFill="background1"/>
                </w:tcPr>
                <w:p w:rsidR="00191F56" w:rsidRDefault="00191F56" w:rsidP="009167BF">
                  <w:pPr>
                    <w:rPr>
                      <w:color w:val="000000" w:themeColor="text1"/>
                    </w:rPr>
                  </w:pPr>
                </w:p>
              </w:tc>
              <w:tc>
                <w:tcPr>
                  <w:tcW w:w="1205" w:type="dxa"/>
                  <w:shd w:val="clear" w:color="auto" w:fill="FFFFFF" w:themeFill="background1"/>
                </w:tcPr>
                <w:p w:rsidR="00191F56" w:rsidRDefault="00191F56" w:rsidP="009167BF">
                  <w:pPr>
                    <w:rPr>
                      <w:color w:val="000000" w:themeColor="text1"/>
                    </w:rPr>
                  </w:pPr>
                </w:p>
              </w:tc>
              <w:tc>
                <w:tcPr>
                  <w:tcW w:w="1205" w:type="dxa"/>
                  <w:shd w:val="clear" w:color="auto" w:fill="FFFFFF" w:themeFill="background1"/>
                </w:tcPr>
                <w:p w:rsidR="00191F56" w:rsidRDefault="00191F56" w:rsidP="009167BF">
                  <w:pPr>
                    <w:rPr>
                      <w:color w:val="000000" w:themeColor="text1"/>
                    </w:rPr>
                  </w:pPr>
                </w:p>
              </w:tc>
              <w:tc>
                <w:tcPr>
                  <w:tcW w:w="1205" w:type="dxa"/>
                  <w:shd w:val="clear" w:color="auto" w:fill="FFFFFF" w:themeFill="background1"/>
                </w:tcPr>
                <w:p w:rsidR="00191F56" w:rsidRDefault="002A49C6" w:rsidP="009167BF">
                  <w:pPr>
                    <w:rPr>
                      <w:color w:val="000000" w:themeColor="text1"/>
                    </w:rPr>
                  </w:pPr>
                  <w:r>
                    <w:rPr>
                      <w:color w:val="000000" w:themeColor="text1"/>
                    </w:rPr>
                    <w:t>0.35</w:t>
                  </w:r>
                </w:p>
              </w:tc>
            </w:tr>
            <w:tr w:rsidR="00191F56">
              <w:tc>
                <w:tcPr>
                  <w:tcW w:w="1980" w:type="dxa"/>
                  <w:shd w:val="clear" w:color="auto" w:fill="FFFFFF" w:themeFill="background1"/>
                </w:tcPr>
                <w:p w:rsidR="00191F56" w:rsidRDefault="00EE07BF" w:rsidP="009167BF">
                  <w:pPr>
                    <w:rPr>
                      <w:color w:val="000000" w:themeColor="text1"/>
                    </w:rPr>
                  </w:pPr>
                  <w:r>
                    <w:rPr>
                      <w:color w:val="000000" w:themeColor="text1"/>
                    </w:rPr>
                    <w:t>Other cost elements</w:t>
                  </w:r>
                </w:p>
              </w:tc>
              <w:tc>
                <w:tcPr>
                  <w:tcW w:w="992" w:type="dxa"/>
                  <w:shd w:val="clear" w:color="auto" w:fill="FFFFFF" w:themeFill="background1"/>
                </w:tcPr>
                <w:p w:rsidR="00191F56" w:rsidRDefault="00191F56" w:rsidP="009167BF">
                  <w:pPr>
                    <w:rPr>
                      <w:color w:val="000000" w:themeColor="text1"/>
                    </w:rPr>
                  </w:pPr>
                </w:p>
              </w:tc>
              <w:tc>
                <w:tcPr>
                  <w:tcW w:w="1204" w:type="dxa"/>
                  <w:shd w:val="clear" w:color="auto" w:fill="FFFFFF" w:themeFill="background1"/>
                </w:tcPr>
                <w:p w:rsidR="00191F56" w:rsidRDefault="00191F56" w:rsidP="009167BF">
                  <w:pPr>
                    <w:rPr>
                      <w:color w:val="000000" w:themeColor="text1"/>
                    </w:rPr>
                  </w:pPr>
                </w:p>
              </w:tc>
              <w:tc>
                <w:tcPr>
                  <w:tcW w:w="1205" w:type="dxa"/>
                  <w:shd w:val="clear" w:color="auto" w:fill="FFFFFF" w:themeFill="background1"/>
                </w:tcPr>
                <w:p w:rsidR="00191F56" w:rsidRDefault="00191F56" w:rsidP="009167BF">
                  <w:pPr>
                    <w:rPr>
                      <w:color w:val="000000" w:themeColor="text1"/>
                    </w:rPr>
                  </w:pPr>
                </w:p>
              </w:tc>
              <w:tc>
                <w:tcPr>
                  <w:tcW w:w="1205" w:type="dxa"/>
                  <w:shd w:val="clear" w:color="auto" w:fill="FFFFFF" w:themeFill="background1"/>
                </w:tcPr>
                <w:p w:rsidR="00191F56" w:rsidRDefault="00191F56" w:rsidP="009167BF">
                  <w:pPr>
                    <w:rPr>
                      <w:color w:val="000000" w:themeColor="text1"/>
                    </w:rPr>
                  </w:pPr>
                </w:p>
              </w:tc>
              <w:tc>
                <w:tcPr>
                  <w:tcW w:w="1205" w:type="dxa"/>
                  <w:shd w:val="clear" w:color="auto" w:fill="FFFFFF" w:themeFill="background1"/>
                </w:tcPr>
                <w:p w:rsidR="00191F56" w:rsidRDefault="00191F56" w:rsidP="009167BF">
                  <w:pPr>
                    <w:rPr>
                      <w:color w:val="000000" w:themeColor="text1"/>
                    </w:rPr>
                  </w:pPr>
                </w:p>
              </w:tc>
              <w:tc>
                <w:tcPr>
                  <w:tcW w:w="1205" w:type="dxa"/>
                  <w:shd w:val="clear" w:color="auto" w:fill="FFFFFF" w:themeFill="background1"/>
                </w:tcPr>
                <w:p w:rsidR="00191F56" w:rsidRDefault="00191F56" w:rsidP="009167BF">
                  <w:pPr>
                    <w:rPr>
                      <w:color w:val="000000" w:themeColor="text1"/>
                    </w:rPr>
                  </w:pPr>
                </w:p>
              </w:tc>
              <w:tc>
                <w:tcPr>
                  <w:tcW w:w="1205" w:type="dxa"/>
                  <w:shd w:val="clear" w:color="auto" w:fill="FFFFFF" w:themeFill="background1"/>
                </w:tcPr>
                <w:p w:rsidR="00191F56" w:rsidRDefault="00191F56" w:rsidP="009167BF">
                  <w:pPr>
                    <w:rPr>
                      <w:color w:val="000000" w:themeColor="text1"/>
                    </w:rPr>
                  </w:pPr>
                </w:p>
              </w:tc>
            </w:tr>
            <w:tr w:rsidR="00EE07BF">
              <w:tc>
                <w:tcPr>
                  <w:tcW w:w="1980" w:type="dxa"/>
                  <w:shd w:val="clear" w:color="auto" w:fill="FFFFFF" w:themeFill="background1"/>
                </w:tcPr>
                <w:p w:rsidR="00EE07BF" w:rsidRDefault="00EE07BF" w:rsidP="009167BF">
                  <w:pPr>
                    <w:rPr>
                      <w:color w:val="000000" w:themeColor="text1"/>
                    </w:rPr>
                  </w:pPr>
                  <w:r>
                    <w:rPr>
                      <w:color w:val="000000" w:themeColor="text1"/>
                    </w:rPr>
                    <w:t>VAT</w:t>
                  </w:r>
                </w:p>
              </w:tc>
              <w:tc>
                <w:tcPr>
                  <w:tcW w:w="992" w:type="dxa"/>
                  <w:shd w:val="clear" w:color="auto" w:fill="FFFFFF" w:themeFill="background1"/>
                </w:tcPr>
                <w:p w:rsidR="00EE07BF" w:rsidRDefault="00EE07BF" w:rsidP="009167BF">
                  <w:pPr>
                    <w:rPr>
                      <w:color w:val="000000" w:themeColor="text1"/>
                    </w:rPr>
                  </w:pPr>
                </w:p>
              </w:tc>
              <w:tc>
                <w:tcPr>
                  <w:tcW w:w="1204" w:type="dxa"/>
                  <w:shd w:val="clear" w:color="auto" w:fill="FFFFFF" w:themeFill="background1"/>
                </w:tcPr>
                <w:p w:rsidR="00EE07BF" w:rsidRDefault="00EE07BF" w:rsidP="009167BF">
                  <w:pPr>
                    <w:rPr>
                      <w:color w:val="000000" w:themeColor="text1"/>
                    </w:rPr>
                  </w:pPr>
                </w:p>
              </w:tc>
              <w:tc>
                <w:tcPr>
                  <w:tcW w:w="1205" w:type="dxa"/>
                  <w:shd w:val="clear" w:color="auto" w:fill="FFFFFF" w:themeFill="background1"/>
                </w:tcPr>
                <w:p w:rsidR="00EE07BF" w:rsidRDefault="00EE07BF" w:rsidP="009167BF">
                  <w:pPr>
                    <w:rPr>
                      <w:color w:val="000000" w:themeColor="text1"/>
                    </w:rPr>
                  </w:pPr>
                </w:p>
              </w:tc>
              <w:tc>
                <w:tcPr>
                  <w:tcW w:w="1205" w:type="dxa"/>
                  <w:shd w:val="clear" w:color="auto" w:fill="FFFFFF" w:themeFill="background1"/>
                </w:tcPr>
                <w:p w:rsidR="00EE07BF" w:rsidRDefault="00EE07BF" w:rsidP="009167BF">
                  <w:pPr>
                    <w:rPr>
                      <w:color w:val="000000" w:themeColor="text1"/>
                    </w:rPr>
                  </w:pPr>
                </w:p>
              </w:tc>
              <w:tc>
                <w:tcPr>
                  <w:tcW w:w="1205" w:type="dxa"/>
                  <w:shd w:val="clear" w:color="auto" w:fill="FFFFFF" w:themeFill="background1"/>
                </w:tcPr>
                <w:p w:rsidR="00EE07BF" w:rsidRDefault="00EE07BF" w:rsidP="009167BF">
                  <w:pPr>
                    <w:rPr>
                      <w:color w:val="000000" w:themeColor="text1"/>
                    </w:rPr>
                  </w:pPr>
                </w:p>
              </w:tc>
              <w:tc>
                <w:tcPr>
                  <w:tcW w:w="1205" w:type="dxa"/>
                  <w:shd w:val="clear" w:color="auto" w:fill="FFFFFF" w:themeFill="background1"/>
                </w:tcPr>
                <w:p w:rsidR="00EE07BF" w:rsidRDefault="00EE07BF" w:rsidP="009167BF">
                  <w:pPr>
                    <w:rPr>
                      <w:color w:val="000000" w:themeColor="text1"/>
                    </w:rPr>
                  </w:pPr>
                </w:p>
              </w:tc>
              <w:tc>
                <w:tcPr>
                  <w:tcW w:w="1205" w:type="dxa"/>
                  <w:shd w:val="clear" w:color="auto" w:fill="FFFFFF" w:themeFill="background1"/>
                </w:tcPr>
                <w:p w:rsidR="00EE07BF" w:rsidRDefault="00EE07BF" w:rsidP="009167BF">
                  <w:pPr>
                    <w:rPr>
                      <w:color w:val="000000" w:themeColor="text1"/>
                    </w:rPr>
                  </w:pPr>
                </w:p>
              </w:tc>
            </w:tr>
            <w:tr w:rsidR="00EE07BF">
              <w:tc>
                <w:tcPr>
                  <w:tcW w:w="1980" w:type="dxa"/>
                  <w:shd w:val="clear" w:color="auto" w:fill="FFFFFF" w:themeFill="background1"/>
                </w:tcPr>
                <w:p w:rsidR="00EE07BF" w:rsidRPr="00EE07BF" w:rsidRDefault="00EE07BF" w:rsidP="009167BF">
                  <w:pPr>
                    <w:rPr>
                      <w:b/>
                      <w:color w:val="000000" w:themeColor="text1"/>
                    </w:rPr>
                  </w:pPr>
                  <w:r w:rsidRPr="00EE07BF">
                    <w:rPr>
                      <w:b/>
                      <w:color w:val="000000" w:themeColor="text1"/>
                    </w:rPr>
                    <w:t>Total</w:t>
                  </w:r>
                </w:p>
              </w:tc>
              <w:tc>
                <w:tcPr>
                  <w:tcW w:w="992" w:type="dxa"/>
                  <w:shd w:val="clear" w:color="auto" w:fill="FFFFFF" w:themeFill="background1"/>
                </w:tcPr>
                <w:p w:rsidR="00EE07BF" w:rsidRDefault="00EE07BF" w:rsidP="009167BF">
                  <w:pPr>
                    <w:rPr>
                      <w:color w:val="000000" w:themeColor="text1"/>
                    </w:rPr>
                  </w:pPr>
                </w:p>
              </w:tc>
              <w:tc>
                <w:tcPr>
                  <w:tcW w:w="1204" w:type="dxa"/>
                  <w:shd w:val="clear" w:color="auto" w:fill="FFFFFF" w:themeFill="background1"/>
                </w:tcPr>
                <w:p w:rsidR="00EE07BF" w:rsidRDefault="002A49C6" w:rsidP="009167BF">
                  <w:pPr>
                    <w:rPr>
                      <w:color w:val="000000" w:themeColor="text1"/>
                    </w:rPr>
                  </w:pPr>
                  <w:r>
                    <w:rPr>
                      <w:color w:val="000000" w:themeColor="text1"/>
                    </w:rPr>
                    <w:t>7.80</w:t>
                  </w:r>
                </w:p>
              </w:tc>
              <w:tc>
                <w:tcPr>
                  <w:tcW w:w="1205" w:type="dxa"/>
                  <w:shd w:val="clear" w:color="auto" w:fill="FFFFFF" w:themeFill="background1"/>
                </w:tcPr>
                <w:p w:rsidR="00EE07BF" w:rsidRDefault="002A49C6" w:rsidP="009167BF">
                  <w:pPr>
                    <w:rPr>
                      <w:color w:val="000000" w:themeColor="text1"/>
                    </w:rPr>
                  </w:pPr>
                  <w:r>
                    <w:rPr>
                      <w:color w:val="000000" w:themeColor="text1"/>
                    </w:rPr>
                    <w:t>1.02</w:t>
                  </w:r>
                </w:p>
              </w:tc>
              <w:tc>
                <w:tcPr>
                  <w:tcW w:w="1205" w:type="dxa"/>
                  <w:shd w:val="clear" w:color="auto" w:fill="FFFFFF" w:themeFill="background1"/>
                </w:tcPr>
                <w:p w:rsidR="00EE07BF" w:rsidRDefault="00EE07BF" w:rsidP="009167BF">
                  <w:pPr>
                    <w:rPr>
                      <w:color w:val="000000" w:themeColor="text1"/>
                    </w:rPr>
                  </w:pPr>
                </w:p>
              </w:tc>
              <w:tc>
                <w:tcPr>
                  <w:tcW w:w="1205" w:type="dxa"/>
                  <w:shd w:val="clear" w:color="auto" w:fill="FFFFFF" w:themeFill="background1"/>
                </w:tcPr>
                <w:p w:rsidR="00EE07BF" w:rsidRDefault="00EE07BF" w:rsidP="009167BF">
                  <w:pPr>
                    <w:rPr>
                      <w:color w:val="000000" w:themeColor="text1"/>
                    </w:rPr>
                  </w:pPr>
                </w:p>
              </w:tc>
              <w:tc>
                <w:tcPr>
                  <w:tcW w:w="1205" w:type="dxa"/>
                  <w:shd w:val="clear" w:color="auto" w:fill="FFFFFF" w:themeFill="background1"/>
                </w:tcPr>
                <w:p w:rsidR="00EE07BF" w:rsidRDefault="00EE07BF" w:rsidP="009167BF">
                  <w:pPr>
                    <w:rPr>
                      <w:color w:val="000000" w:themeColor="text1"/>
                    </w:rPr>
                  </w:pPr>
                </w:p>
              </w:tc>
              <w:tc>
                <w:tcPr>
                  <w:tcW w:w="1205" w:type="dxa"/>
                  <w:shd w:val="clear" w:color="auto" w:fill="FFFFFF" w:themeFill="background1"/>
                </w:tcPr>
                <w:p w:rsidR="00EE07BF" w:rsidRDefault="002A49C6" w:rsidP="009167BF">
                  <w:pPr>
                    <w:rPr>
                      <w:color w:val="000000" w:themeColor="text1"/>
                    </w:rPr>
                  </w:pPr>
                  <w:r>
                    <w:rPr>
                      <w:color w:val="000000" w:themeColor="text1"/>
                    </w:rPr>
                    <w:t>8.82</w:t>
                  </w:r>
                </w:p>
              </w:tc>
            </w:tr>
          </w:tbl>
          <w:p w:rsidR="00236CA6" w:rsidRDefault="00BE7254" w:rsidP="001923FB">
            <w:pPr>
              <w:rPr>
                <w:b/>
                <w:color w:val="FFFFFF" w:themeColor="background1"/>
              </w:rPr>
            </w:pPr>
            <w:r>
              <w:rPr>
                <w:b/>
                <w:color w:val="FFFFFF" w:themeColor="background1"/>
              </w:rPr>
              <w:t>SEE DETAILED COST BREAKDOWN PROVIDED IN 5.1</w:t>
            </w:r>
          </w:p>
          <w:p w:rsidR="00EE07BF" w:rsidRPr="003C00A6" w:rsidRDefault="00EE07BF" w:rsidP="00EE07BF">
            <w:pPr>
              <w:rPr>
                <w:color w:val="000000" w:themeColor="text1"/>
              </w:rPr>
            </w:pPr>
          </w:p>
        </w:tc>
      </w:tr>
      <w:tr w:rsidR="00FA5D2A" w:rsidTr="002F463E">
        <w:trPr>
          <w:trHeight w:val="2832"/>
        </w:trPr>
        <w:tc>
          <w:tcPr>
            <w:tcW w:w="2694" w:type="dxa"/>
            <w:shd w:val="clear" w:color="auto" w:fill="4BACC6" w:themeFill="accent5"/>
          </w:tcPr>
          <w:p w:rsidR="00FA5D2A" w:rsidRPr="00685C6D" w:rsidRDefault="00EE07BF" w:rsidP="00C96AA1">
            <w:pPr>
              <w:pStyle w:val="ListParagraph"/>
              <w:numPr>
                <w:ilvl w:val="1"/>
                <w:numId w:val="1"/>
              </w:numPr>
              <w:ind w:left="601" w:hanging="567"/>
              <w:rPr>
                <w:b/>
                <w:color w:val="FFFFFF" w:themeColor="background1"/>
              </w:rPr>
            </w:pPr>
            <w:r>
              <w:rPr>
                <w:b/>
                <w:color w:val="FFFFFF" w:themeColor="background1"/>
              </w:rPr>
              <w:lastRenderedPageBreak/>
              <w:t xml:space="preserve">Viability: </w:t>
            </w:r>
            <w:r w:rsidR="002E2BAE" w:rsidRPr="00685C6D">
              <w:rPr>
                <w:b/>
                <w:color w:val="FFFFFF" w:themeColor="background1"/>
              </w:rPr>
              <w:t xml:space="preserve">How secure are </w:t>
            </w:r>
            <w:r w:rsidR="00C96AA1">
              <w:rPr>
                <w:b/>
                <w:color w:val="FFFFFF" w:themeColor="background1"/>
              </w:rPr>
              <w:t>the external</w:t>
            </w:r>
            <w:r w:rsidR="002E2BAE" w:rsidRPr="00685C6D">
              <w:rPr>
                <w:b/>
                <w:color w:val="FFFFFF" w:themeColor="background1"/>
              </w:rPr>
              <w:t xml:space="preserve"> sources of funding? </w:t>
            </w:r>
          </w:p>
        </w:tc>
        <w:tc>
          <w:tcPr>
            <w:tcW w:w="7796" w:type="dxa"/>
          </w:tcPr>
          <w:p w:rsidR="00FA5D2A" w:rsidRDefault="0091574B" w:rsidP="00C96AA1">
            <w:pPr>
              <w:pStyle w:val="NoSpacing"/>
              <w:ind w:left="33"/>
              <w:rPr>
                <w:i/>
              </w:rPr>
            </w:pPr>
            <w:r>
              <w:rPr>
                <w:i/>
              </w:rPr>
              <w:t>Please provide evidence of the security of the specified third party contributions</w:t>
            </w:r>
          </w:p>
          <w:p w:rsidR="00EE07BF" w:rsidRDefault="00EE07BF" w:rsidP="00C96AA1">
            <w:pPr>
              <w:pStyle w:val="NoSpacing"/>
              <w:ind w:left="33"/>
              <w:rPr>
                <w:i/>
              </w:rPr>
            </w:pPr>
          </w:p>
          <w:tbl>
            <w:tblPr>
              <w:tblStyle w:val="TableGrid"/>
              <w:tblW w:w="7565" w:type="dxa"/>
              <w:tblInd w:w="33" w:type="dxa"/>
              <w:tblLayout w:type="fixed"/>
              <w:tblLook w:val="04A0"/>
            </w:tblPr>
            <w:tblGrid>
              <w:gridCol w:w="1891"/>
              <w:gridCol w:w="1891"/>
              <w:gridCol w:w="1891"/>
              <w:gridCol w:w="1892"/>
            </w:tblGrid>
            <w:tr w:rsidR="00EE07BF">
              <w:tc>
                <w:tcPr>
                  <w:tcW w:w="1891" w:type="dxa"/>
                </w:tcPr>
                <w:p w:rsidR="00EE07BF" w:rsidRPr="00E95DE7" w:rsidRDefault="00E95DE7" w:rsidP="00C96AA1">
                  <w:pPr>
                    <w:pStyle w:val="NoSpacing"/>
                    <w:rPr>
                      <w:b/>
                    </w:rPr>
                  </w:pPr>
                  <w:r w:rsidRPr="00E95DE7">
                    <w:rPr>
                      <w:b/>
                    </w:rPr>
                    <w:t>Type</w:t>
                  </w:r>
                </w:p>
              </w:tc>
              <w:tc>
                <w:tcPr>
                  <w:tcW w:w="1891" w:type="dxa"/>
                </w:tcPr>
                <w:p w:rsidR="00EE07BF" w:rsidRPr="00E95DE7" w:rsidRDefault="00E95DE7" w:rsidP="00C96AA1">
                  <w:pPr>
                    <w:pStyle w:val="NoSpacing"/>
                    <w:rPr>
                      <w:b/>
                    </w:rPr>
                  </w:pPr>
                  <w:r w:rsidRPr="00E95DE7">
                    <w:rPr>
                      <w:b/>
                    </w:rPr>
                    <w:t>Source</w:t>
                  </w:r>
                </w:p>
              </w:tc>
              <w:tc>
                <w:tcPr>
                  <w:tcW w:w="1891" w:type="dxa"/>
                </w:tcPr>
                <w:p w:rsidR="00EE07BF" w:rsidRPr="00E95DE7" w:rsidRDefault="00E95DE7" w:rsidP="00C96AA1">
                  <w:pPr>
                    <w:pStyle w:val="NoSpacing"/>
                    <w:rPr>
                      <w:b/>
                    </w:rPr>
                  </w:pPr>
                  <w:r w:rsidRPr="00E95DE7">
                    <w:rPr>
                      <w:b/>
                    </w:rPr>
                    <w:t>How secure?</w:t>
                  </w:r>
                </w:p>
              </w:tc>
              <w:tc>
                <w:tcPr>
                  <w:tcW w:w="1892" w:type="dxa"/>
                </w:tcPr>
                <w:p w:rsidR="00EE07BF" w:rsidRPr="00E95DE7" w:rsidRDefault="00E95DE7" w:rsidP="00C96AA1">
                  <w:pPr>
                    <w:pStyle w:val="NoSpacing"/>
                    <w:rPr>
                      <w:b/>
                    </w:rPr>
                  </w:pPr>
                  <w:r w:rsidRPr="00E95DE7">
                    <w:rPr>
                      <w:b/>
                    </w:rPr>
                    <w:t>When will the money be available?</w:t>
                  </w:r>
                </w:p>
              </w:tc>
            </w:tr>
            <w:tr w:rsidR="00E95DE7">
              <w:tc>
                <w:tcPr>
                  <w:tcW w:w="1891" w:type="dxa"/>
                  <w:vMerge w:val="restart"/>
                  <w:vAlign w:val="center"/>
                </w:tcPr>
                <w:p w:rsidR="00E95DE7" w:rsidRDefault="00E95DE7" w:rsidP="00E95DE7">
                  <w:pPr>
                    <w:pStyle w:val="NoSpacing"/>
                    <w:jc w:val="center"/>
                    <w:rPr>
                      <w:i/>
                    </w:rPr>
                  </w:pPr>
                  <w:r>
                    <w:rPr>
                      <w:i/>
                    </w:rPr>
                    <w:t>Public</w:t>
                  </w:r>
                </w:p>
              </w:tc>
              <w:tc>
                <w:tcPr>
                  <w:tcW w:w="1891" w:type="dxa"/>
                </w:tcPr>
                <w:p w:rsidR="00E95DE7" w:rsidRPr="00E95DE7" w:rsidRDefault="00E95DE7" w:rsidP="00C96AA1">
                  <w:pPr>
                    <w:pStyle w:val="NoSpacing"/>
                  </w:pPr>
                  <w:r w:rsidRPr="00E95DE7">
                    <w:t>SELEP LGF</w:t>
                  </w:r>
                </w:p>
              </w:tc>
              <w:tc>
                <w:tcPr>
                  <w:tcW w:w="1891" w:type="dxa"/>
                </w:tcPr>
                <w:p w:rsidR="00E95DE7" w:rsidRDefault="00BE7254" w:rsidP="00C96AA1">
                  <w:pPr>
                    <w:pStyle w:val="NoSpacing"/>
                    <w:rPr>
                      <w:i/>
                    </w:rPr>
                  </w:pPr>
                  <w:r>
                    <w:rPr>
                      <w:i/>
                    </w:rPr>
                    <w:t>Subject to the outcome</w:t>
                  </w:r>
                  <w:r w:rsidR="00F75CAF">
                    <w:rPr>
                      <w:i/>
                    </w:rPr>
                    <w:t>/LEP approval</w:t>
                  </w:r>
                  <w:r>
                    <w:rPr>
                      <w:i/>
                    </w:rPr>
                    <w:t xml:space="preserve"> of this business case</w:t>
                  </w:r>
                </w:p>
              </w:tc>
              <w:tc>
                <w:tcPr>
                  <w:tcW w:w="1892" w:type="dxa"/>
                </w:tcPr>
                <w:p w:rsidR="00E95DE7" w:rsidRDefault="00BE7254" w:rsidP="00C96AA1">
                  <w:pPr>
                    <w:pStyle w:val="NoSpacing"/>
                    <w:rPr>
                      <w:i/>
                    </w:rPr>
                  </w:pPr>
                  <w:r>
                    <w:rPr>
                      <w:i/>
                    </w:rPr>
                    <w:t>Assumed April 2016</w:t>
                  </w:r>
                  <w:r w:rsidR="00F75CAF">
                    <w:rPr>
                      <w:i/>
                    </w:rPr>
                    <w:t xml:space="preserve">, subject to LEP approval </w:t>
                  </w:r>
                </w:p>
              </w:tc>
            </w:tr>
            <w:tr w:rsidR="00E95DE7">
              <w:tc>
                <w:tcPr>
                  <w:tcW w:w="1891" w:type="dxa"/>
                  <w:vMerge/>
                  <w:vAlign w:val="center"/>
                </w:tcPr>
                <w:p w:rsidR="00E95DE7" w:rsidRDefault="00E95DE7" w:rsidP="00E95DE7">
                  <w:pPr>
                    <w:pStyle w:val="NoSpacing"/>
                    <w:jc w:val="center"/>
                    <w:rPr>
                      <w:i/>
                    </w:rPr>
                  </w:pPr>
                </w:p>
              </w:tc>
              <w:tc>
                <w:tcPr>
                  <w:tcW w:w="1891" w:type="dxa"/>
                </w:tcPr>
                <w:p w:rsidR="00E95DE7" w:rsidRPr="00177D60" w:rsidRDefault="00C36C9E" w:rsidP="00C96AA1">
                  <w:pPr>
                    <w:pStyle w:val="NoSpacing"/>
                  </w:pPr>
                  <w:r>
                    <w:t>Southend Council</w:t>
                  </w:r>
                </w:p>
              </w:tc>
              <w:tc>
                <w:tcPr>
                  <w:tcW w:w="1891" w:type="dxa"/>
                </w:tcPr>
                <w:p w:rsidR="00E95DE7" w:rsidRDefault="00BE7254" w:rsidP="00C96AA1">
                  <w:pPr>
                    <w:pStyle w:val="NoSpacing"/>
                    <w:rPr>
                      <w:i/>
                    </w:rPr>
                  </w:pPr>
                  <w:r>
                    <w:rPr>
                      <w:i/>
                    </w:rPr>
                    <w:t>Allocated in Capital Programme for this site and forms part of the legal DA with HBDL</w:t>
                  </w:r>
                </w:p>
              </w:tc>
              <w:tc>
                <w:tcPr>
                  <w:tcW w:w="1892" w:type="dxa"/>
                </w:tcPr>
                <w:p w:rsidR="00E95DE7" w:rsidRDefault="00BE7254" w:rsidP="00C96AA1">
                  <w:pPr>
                    <w:pStyle w:val="NoSpacing"/>
                    <w:rPr>
                      <w:i/>
                    </w:rPr>
                  </w:pPr>
                  <w:r>
                    <w:rPr>
                      <w:i/>
                    </w:rPr>
                    <w:t>April 2016</w:t>
                  </w:r>
                </w:p>
              </w:tc>
            </w:tr>
            <w:tr w:rsidR="006C58E3" w:rsidTr="00B03E49">
              <w:tc>
                <w:tcPr>
                  <w:tcW w:w="1891" w:type="dxa"/>
                  <w:vMerge w:val="restart"/>
                  <w:vAlign w:val="center"/>
                </w:tcPr>
                <w:p w:rsidR="006C58E3" w:rsidRDefault="006C58E3" w:rsidP="00E95DE7">
                  <w:pPr>
                    <w:pStyle w:val="NoSpacing"/>
                    <w:jc w:val="center"/>
                    <w:rPr>
                      <w:i/>
                    </w:rPr>
                  </w:pPr>
                  <w:r>
                    <w:rPr>
                      <w:i/>
                    </w:rPr>
                    <w:t>Private</w:t>
                  </w:r>
                </w:p>
              </w:tc>
              <w:tc>
                <w:tcPr>
                  <w:tcW w:w="5674" w:type="dxa"/>
                  <w:gridSpan w:val="3"/>
                </w:tcPr>
                <w:p w:rsidR="006C58E3" w:rsidRDefault="006C58E3" w:rsidP="0092334B">
                  <w:pPr>
                    <w:pStyle w:val="NoSpacing"/>
                    <w:rPr>
                      <w:i/>
                    </w:rPr>
                  </w:pPr>
                  <w:r>
                    <w:rPr>
                      <w:i/>
                    </w:rPr>
                    <w:t xml:space="preserve">HBDL will provide private sector investment in the development of the commercial units in the phase 1 scheme. The total GDV of the completed scheme is estimated to be </w:t>
                  </w:r>
                  <w:r w:rsidRPr="0092334B">
                    <w:rPr>
                      <w:i/>
                    </w:rPr>
                    <w:t>c.£</w:t>
                  </w:r>
                  <w:r w:rsidR="0092334B" w:rsidRPr="0092334B">
                    <w:rPr>
                      <w:i/>
                    </w:rPr>
                    <w:t>41m</w:t>
                  </w:r>
                  <w:r w:rsidRPr="0092334B">
                    <w:rPr>
                      <w:i/>
                    </w:rPr>
                    <w:t xml:space="preserve"> which represents the private sector investment value.</w:t>
                  </w:r>
                  <w:r>
                    <w:rPr>
                      <w:i/>
                    </w:rPr>
                    <w:t xml:space="preserve"> </w:t>
                  </w:r>
                </w:p>
              </w:tc>
            </w:tr>
            <w:tr w:rsidR="00E95DE7">
              <w:tc>
                <w:tcPr>
                  <w:tcW w:w="1891" w:type="dxa"/>
                  <w:vMerge/>
                </w:tcPr>
                <w:p w:rsidR="00E95DE7" w:rsidRDefault="00E95DE7" w:rsidP="00C96AA1">
                  <w:pPr>
                    <w:pStyle w:val="NoSpacing"/>
                    <w:rPr>
                      <w:i/>
                    </w:rPr>
                  </w:pPr>
                </w:p>
              </w:tc>
              <w:tc>
                <w:tcPr>
                  <w:tcW w:w="1891" w:type="dxa"/>
                </w:tcPr>
                <w:p w:rsidR="00E95DE7" w:rsidRDefault="00E95DE7" w:rsidP="00C96AA1">
                  <w:pPr>
                    <w:pStyle w:val="NoSpacing"/>
                    <w:rPr>
                      <w:i/>
                    </w:rPr>
                  </w:pPr>
                </w:p>
              </w:tc>
              <w:tc>
                <w:tcPr>
                  <w:tcW w:w="1891" w:type="dxa"/>
                </w:tcPr>
                <w:p w:rsidR="00E95DE7" w:rsidRDefault="00E95DE7" w:rsidP="00C96AA1">
                  <w:pPr>
                    <w:pStyle w:val="NoSpacing"/>
                    <w:rPr>
                      <w:i/>
                    </w:rPr>
                  </w:pPr>
                </w:p>
              </w:tc>
              <w:tc>
                <w:tcPr>
                  <w:tcW w:w="1892" w:type="dxa"/>
                </w:tcPr>
                <w:p w:rsidR="00E95DE7" w:rsidRDefault="00E95DE7" w:rsidP="00C96AA1">
                  <w:pPr>
                    <w:pStyle w:val="NoSpacing"/>
                    <w:rPr>
                      <w:i/>
                    </w:rPr>
                  </w:pPr>
                </w:p>
              </w:tc>
            </w:tr>
          </w:tbl>
          <w:p w:rsidR="00EE07BF" w:rsidRPr="0091574B" w:rsidRDefault="00EE07BF" w:rsidP="00C96AA1">
            <w:pPr>
              <w:pStyle w:val="NoSpacing"/>
              <w:ind w:left="33"/>
              <w:rPr>
                <w:i/>
              </w:rPr>
            </w:pPr>
          </w:p>
        </w:tc>
      </w:tr>
      <w:tr w:rsidR="00FA5D2A" w:rsidTr="002F463E">
        <w:tc>
          <w:tcPr>
            <w:tcW w:w="2694" w:type="dxa"/>
            <w:shd w:val="clear" w:color="auto" w:fill="4BACC6" w:themeFill="accent5"/>
          </w:tcPr>
          <w:p w:rsidR="00FA5D2A" w:rsidRPr="00685C6D" w:rsidRDefault="002E2BAE" w:rsidP="00C96AA1">
            <w:pPr>
              <w:pStyle w:val="ListParagraph"/>
              <w:numPr>
                <w:ilvl w:val="1"/>
                <w:numId w:val="1"/>
              </w:numPr>
              <w:ind w:left="601" w:hanging="567"/>
              <w:rPr>
                <w:b/>
                <w:color w:val="FFFFFF" w:themeColor="background1"/>
              </w:rPr>
            </w:pPr>
            <w:r w:rsidRPr="00685C6D">
              <w:rPr>
                <w:b/>
                <w:color w:val="FFFFFF" w:themeColor="background1"/>
              </w:rPr>
              <w:t xml:space="preserve">Is any of the </w:t>
            </w:r>
            <w:r w:rsidR="00C96AA1">
              <w:rPr>
                <w:b/>
                <w:color w:val="FFFFFF" w:themeColor="background1"/>
              </w:rPr>
              <w:t>SELEP</w:t>
            </w:r>
            <w:r w:rsidRPr="00685C6D">
              <w:rPr>
                <w:b/>
                <w:color w:val="FFFFFF" w:themeColor="background1"/>
              </w:rPr>
              <w:t xml:space="preserve"> contribution recoverable? </w:t>
            </w:r>
          </w:p>
        </w:tc>
        <w:tc>
          <w:tcPr>
            <w:tcW w:w="7796" w:type="dxa"/>
          </w:tcPr>
          <w:p w:rsidR="00B41019" w:rsidRDefault="005B7BB2" w:rsidP="00C96AA1">
            <w:pPr>
              <w:ind w:left="33"/>
              <w:rPr>
                <w:i/>
              </w:rPr>
            </w:pPr>
            <w:r>
              <w:rPr>
                <w:i/>
              </w:rPr>
              <w:t>If this is the case, please insert a simple table laid out as above which indicates the repayment profile to cover the period of repayments</w:t>
            </w:r>
          </w:p>
          <w:p w:rsidR="00177D60" w:rsidRDefault="00177D60" w:rsidP="00C96AA1">
            <w:pPr>
              <w:ind w:left="33"/>
              <w:rPr>
                <w:i/>
              </w:rPr>
            </w:pPr>
          </w:p>
          <w:p w:rsidR="00177D60" w:rsidRPr="00177D60" w:rsidRDefault="00BE7254" w:rsidP="00C96AA1">
            <w:pPr>
              <w:ind w:left="33"/>
            </w:pPr>
            <w:r>
              <w:t>No</w:t>
            </w:r>
          </w:p>
        </w:tc>
      </w:tr>
      <w:tr w:rsidR="001923FB" w:rsidTr="002F463E">
        <w:tc>
          <w:tcPr>
            <w:tcW w:w="2694" w:type="dxa"/>
            <w:shd w:val="clear" w:color="auto" w:fill="4BACC6" w:themeFill="accent5"/>
          </w:tcPr>
          <w:p w:rsidR="001923FB" w:rsidRPr="00685C6D" w:rsidRDefault="0091574B" w:rsidP="00CC3E27">
            <w:pPr>
              <w:pStyle w:val="ListParagraph"/>
              <w:numPr>
                <w:ilvl w:val="1"/>
                <w:numId w:val="1"/>
              </w:numPr>
              <w:ind w:left="601" w:hanging="567"/>
              <w:rPr>
                <w:b/>
                <w:color w:val="FFFFFF" w:themeColor="background1"/>
              </w:rPr>
            </w:pPr>
            <w:r>
              <w:rPr>
                <w:b/>
                <w:color w:val="FFFFFF" w:themeColor="background1"/>
              </w:rPr>
              <w:t>Cost overruns</w:t>
            </w:r>
          </w:p>
        </w:tc>
        <w:tc>
          <w:tcPr>
            <w:tcW w:w="7796" w:type="dxa"/>
          </w:tcPr>
          <w:p w:rsidR="001923FB" w:rsidRDefault="0091574B" w:rsidP="00C96AA1">
            <w:pPr>
              <w:ind w:left="33"/>
              <w:rPr>
                <w:i/>
              </w:rPr>
            </w:pPr>
            <w:r>
              <w:rPr>
                <w:i/>
              </w:rPr>
              <w:t>Please describe how cost overruns will be met by other funding sources given that SELEP contributions will be capped at the offer awarded</w:t>
            </w:r>
          </w:p>
          <w:p w:rsidR="00177D60" w:rsidRDefault="00177D60" w:rsidP="00C96AA1">
            <w:pPr>
              <w:ind w:left="33"/>
              <w:rPr>
                <w:i/>
              </w:rPr>
            </w:pPr>
          </w:p>
          <w:p w:rsidR="0091574B" w:rsidRDefault="00BE7254" w:rsidP="00BE7254">
            <w:pPr>
              <w:ind w:left="33"/>
            </w:pPr>
            <w:r>
              <w:t>Any cost over-runs will be met by the Council</w:t>
            </w:r>
          </w:p>
          <w:p w:rsidR="00BE7254" w:rsidRPr="002E2BAE" w:rsidRDefault="00BE7254" w:rsidP="00BE7254">
            <w:pPr>
              <w:ind w:left="33"/>
              <w:rPr>
                <w:i/>
              </w:rPr>
            </w:pPr>
          </w:p>
        </w:tc>
      </w:tr>
      <w:tr w:rsidR="0091574B" w:rsidTr="002F463E">
        <w:tc>
          <w:tcPr>
            <w:tcW w:w="2694" w:type="dxa"/>
            <w:tcBorders>
              <w:bottom w:val="single" w:sz="4" w:space="0" w:color="auto"/>
            </w:tcBorders>
            <w:shd w:val="clear" w:color="auto" w:fill="4BACC6" w:themeFill="accent5"/>
          </w:tcPr>
          <w:p w:rsidR="0091574B" w:rsidRDefault="0091574B" w:rsidP="00CC3E27">
            <w:pPr>
              <w:pStyle w:val="ListParagraph"/>
              <w:numPr>
                <w:ilvl w:val="1"/>
                <w:numId w:val="1"/>
              </w:numPr>
              <w:ind w:left="601" w:hanging="567"/>
              <w:rPr>
                <w:b/>
                <w:color w:val="FFFFFF" w:themeColor="background1"/>
              </w:rPr>
            </w:pPr>
            <w:r>
              <w:rPr>
                <w:b/>
                <w:color w:val="FFFFFF" w:themeColor="background1"/>
              </w:rPr>
              <w:t>Delivery timescales</w:t>
            </w:r>
          </w:p>
        </w:tc>
        <w:tc>
          <w:tcPr>
            <w:tcW w:w="7796" w:type="dxa"/>
          </w:tcPr>
          <w:p w:rsidR="0091574B" w:rsidRDefault="0091574B" w:rsidP="00C96AA1">
            <w:pPr>
              <w:ind w:left="33"/>
              <w:rPr>
                <w:i/>
              </w:rPr>
            </w:pPr>
            <w:r w:rsidRPr="00675461">
              <w:rPr>
                <w:i/>
              </w:rPr>
              <w:t>What are the main risks associated with the deli</w:t>
            </w:r>
            <w:r>
              <w:rPr>
                <w:i/>
              </w:rPr>
              <w:t xml:space="preserve">very timescales of the project? </w:t>
            </w:r>
            <w:r w:rsidRPr="00675461">
              <w:rPr>
                <w:i/>
              </w:rPr>
              <w:t>Please identify how this will im</w:t>
            </w:r>
            <w:r>
              <w:rPr>
                <w:i/>
              </w:rPr>
              <w:t>pact on the cost of the project</w:t>
            </w:r>
          </w:p>
          <w:p w:rsidR="00177D60" w:rsidRDefault="00177D60" w:rsidP="00C96AA1">
            <w:pPr>
              <w:ind w:left="33"/>
              <w:rPr>
                <w:i/>
              </w:rPr>
            </w:pPr>
          </w:p>
          <w:p w:rsidR="00177D60" w:rsidRDefault="00BE7254" w:rsidP="00AC4467">
            <w:pPr>
              <w:ind w:left="33"/>
              <w:jc w:val="both"/>
            </w:pPr>
            <w:r>
              <w:t xml:space="preserve">Key </w:t>
            </w:r>
            <w:r w:rsidR="003929BE">
              <w:t xml:space="preserve">delivery timescale </w:t>
            </w:r>
            <w:r>
              <w:t>risks include:</w:t>
            </w:r>
          </w:p>
          <w:p w:rsidR="00BE7254" w:rsidRDefault="00BE7254" w:rsidP="00AC4467">
            <w:pPr>
              <w:ind w:left="33"/>
              <w:jc w:val="both"/>
            </w:pPr>
          </w:p>
          <w:p w:rsidR="003929BE" w:rsidRDefault="002A49C6" w:rsidP="00AC4467">
            <w:pPr>
              <w:pStyle w:val="ListParagraph"/>
              <w:numPr>
                <w:ilvl w:val="0"/>
                <w:numId w:val="41"/>
              </w:numPr>
              <w:jc w:val="both"/>
            </w:pPr>
            <w:r>
              <w:t>Delay in signing agreement with the rugby club</w:t>
            </w:r>
          </w:p>
          <w:p w:rsidR="003929BE" w:rsidRDefault="003929BE" w:rsidP="00AC4467">
            <w:pPr>
              <w:pStyle w:val="ListParagraph"/>
              <w:numPr>
                <w:ilvl w:val="0"/>
                <w:numId w:val="41"/>
              </w:numPr>
              <w:jc w:val="both"/>
            </w:pPr>
            <w:r>
              <w:t>Delay in securing p</w:t>
            </w:r>
            <w:r w:rsidR="002A49C6">
              <w:t>lanning</w:t>
            </w:r>
            <w:r>
              <w:t xml:space="preserve"> consent for the phase 1 infrastructure scheme</w:t>
            </w:r>
          </w:p>
          <w:p w:rsidR="002A49C6" w:rsidRDefault="002A49C6" w:rsidP="00AC4467">
            <w:pPr>
              <w:pStyle w:val="ListParagraph"/>
              <w:numPr>
                <w:ilvl w:val="0"/>
                <w:numId w:val="41"/>
              </w:numPr>
              <w:jc w:val="both"/>
            </w:pPr>
            <w:r>
              <w:t>Archaeology/other ground condition issues</w:t>
            </w:r>
          </w:p>
          <w:p w:rsidR="003929BE" w:rsidRDefault="003929BE" w:rsidP="00AC4467">
            <w:pPr>
              <w:pStyle w:val="ListParagraph"/>
              <w:numPr>
                <w:ilvl w:val="0"/>
                <w:numId w:val="41"/>
              </w:numPr>
              <w:jc w:val="both"/>
            </w:pPr>
            <w:r>
              <w:t>Contractor procurement delays</w:t>
            </w:r>
          </w:p>
          <w:p w:rsidR="002A49C6" w:rsidRDefault="002A49C6" w:rsidP="00AC4467">
            <w:pPr>
              <w:ind w:left="33"/>
              <w:jc w:val="both"/>
            </w:pPr>
          </w:p>
          <w:p w:rsidR="003929BE" w:rsidRDefault="003929BE" w:rsidP="00AC4467">
            <w:pPr>
              <w:ind w:left="33"/>
              <w:jc w:val="both"/>
            </w:pPr>
            <w:r>
              <w:t xml:space="preserve">Measures to mitigate each of these risks are already well underway as previously outlined in this business case. The main risk is around a delay in reaching agreement with the rugby club or a failure to do so altogether although negotiations are at an advanced stage. </w:t>
            </w:r>
          </w:p>
          <w:p w:rsidR="003929BE" w:rsidRDefault="003929BE" w:rsidP="00AC4467">
            <w:pPr>
              <w:ind w:left="33"/>
              <w:jc w:val="both"/>
            </w:pPr>
          </w:p>
          <w:p w:rsidR="003929BE" w:rsidRDefault="003929BE" w:rsidP="00AC4467">
            <w:pPr>
              <w:ind w:left="33"/>
              <w:jc w:val="both"/>
            </w:pPr>
            <w:r>
              <w:t>Whilst unforeseen ground conditions could impact on project costs, this is considered unlikely given the technical site survey/investigation work that has already been undertaken.</w:t>
            </w:r>
          </w:p>
          <w:p w:rsidR="003929BE" w:rsidRDefault="003929BE" w:rsidP="003929BE">
            <w:pPr>
              <w:ind w:left="33"/>
            </w:pPr>
          </w:p>
          <w:p w:rsidR="0091574B" w:rsidRDefault="0091574B" w:rsidP="00C96AA1">
            <w:pPr>
              <w:ind w:left="33"/>
              <w:rPr>
                <w:i/>
              </w:rPr>
            </w:pPr>
          </w:p>
        </w:tc>
      </w:tr>
      <w:tr w:rsidR="00D87610" w:rsidTr="002F463E">
        <w:tc>
          <w:tcPr>
            <w:tcW w:w="2694" w:type="dxa"/>
            <w:shd w:val="clear" w:color="auto" w:fill="4BACC6" w:themeFill="accent5"/>
          </w:tcPr>
          <w:p w:rsidR="00D87610" w:rsidRDefault="00D87610" w:rsidP="00CC3E27">
            <w:pPr>
              <w:pStyle w:val="ListParagraph"/>
              <w:numPr>
                <w:ilvl w:val="1"/>
                <w:numId w:val="1"/>
              </w:numPr>
              <w:ind w:left="601" w:hanging="567"/>
              <w:rPr>
                <w:b/>
                <w:color w:val="FFFFFF" w:themeColor="background1"/>
              </w:rPr>
            </w:pPr>
            <w:r>
              <w:rPr>
                <w:b/>
                <w:color w:val="FFFFFF" w:themeColor="background1"/>
              </w:rPr>
              <w:t>Financial risk management</w:t>
            </w:r>
          </w:p>
        </w:tc>
        <w:tc>
          <w:tcPr>
            <w:tcW w:w="7796" w:type="dxa"/>
          </w:tcPr>
          <w:p w:rsidR="00D87610" w:rsidRDefault="00D87610" w:rsidP="00C96AA1">
            <w:pPr>
              <w:ind w:left="33"/>
              <w:rPr>
                <w:i/>
              </w:rPr>
            </w:pPr>
            <w:r w:rsidRPr="00D87610">
              <w:rPr>
                <w:i/>
              </w:rPr>
              <w:t>Identify key risks to the scheme funding and any mitigations</w:t>
            </w:r>
          </w:p>
          <w:p w:rsidR="00177D60" w:rsidRDefault="00177D60" w:rsidP="00C96AA1">
            <w:pPr>
              <w:ind w:left="33"/>
              <w:rPr>
                <w:i/>
              </w:rPr>
            </w:pPr>
          </w:p>
          <w:p w:rsidR="00177D60" w:rsidRDefault="00BE7254" w:rsidP="00C96AA1">
            <w:pPr>
              <w:ind w:left="33"/>
            </w:pPr>
            <w:r>
              <w:t xml:space="preserve">Key risks </w:t>
            </w:r>
            <w:r w:rsidR="003929BE">
              <w:t xml:space="preserve">and mitigation measures </w:t>
            </w:r>
            <w:r>
              <w:t>include:</w:t>
            </w:r>
          </w:p>
          <w:p w:rsidR="00BE7254" w:rsidRDefault="00BE7254" w:rsidP="003929BE">
            <w:pPr>
              <w:ind w:left="33"/>
              <w:jc w:val="both"/>
            </w:pPr>
          </w:p>
          <w:p w:rsidR="003929BE" w:rsidRDefault="003929BE" w:rsidP="003929BE">
            <w:pPr>
              <w:pStyle w:val="ListParagraph"/>
              <w:numPr>
                <w:ilvl w:val="0"/>
                <w:numId w:val="42"/>
              </w:numPr>
              <w:jc w:val="both"/>
            </w:pPr>
            <w:r>
              <w:t xml:space="preserve">LGF is not awarded or is delayed – the Council has previously submitted a </w:t>
            </w:r>
            <w:r>
              <w:lastRenderedPageBreak/>
              <w:t xml:space="preserve">strategic outline business case to seek to secure LGF investment in the ABP site as a whole and has been in discussion with the LEP to ensure that this scheme is prioritised within its investment programme. This business case has been developed to support the case for a first phase £3.2m LGF investment. </w:t>
            </w:r>
          </w:p>
          <w:p w:rsidR="003929BE" w:rsidRDefault="003929BE" w:rsidP="003929BE">
            <w:pPr>
              <w:pStyle w:val="ListParagraph"/>
              <w:numPr>
                <w:ilvl w:val="0"/>
                <w:numId w:val="42"/>
              </w:numPr>
              <w:jc w:val="both"/>
            </w:pPr>
            <w:r>
              <w:t xml:space="preserve">Council funding is not forthcoming – the Council has an allocation within its capital programme to contribute towards the delivery of on-site infrastructure on the ABP site and this funding will be made available in March 2016 subject to a successful LGF funding award. </w:t>
            </w:r>
          </w:p>
          <w:p w:rsidR="00BE7254" w:rsidRPr="00177D60" w:rsidRDefault="00BE7254" w:rsidP="00C96AA1">
            <w:pPr>
              <w:ind w:left="33"/>
            </w:pPr>
          </w:p>
        </w:tc>
      </w:tr>
      <w:tr w:rsidR="00D87610" w:rsidTr="002F463E">
        <w:tc>
          <w:tcPr>
            <w:tcW w:w="2694" w:type="dxa"/>
            <w:shd w:val="clear" w:color="auto" w:fill="4BACC6" w:themeFill="accent5"/>
          </w:tcPr>
          <w:p w:rsidR="00D87610" w:rsidRDefault="00D87610" w:rsidP="00CC3E27">
            <w:pPr>
              <w:pStyle w:val="ListParagraph"/>
              <w:numPr>
                <w:ilvl w:val="1"/>
                <w:numId w:val="1"/>
              </w:numPr>
              <w:ind w:left="601" w:hanging="567"/>
              <w:rPr>
                <w:b/>
                <w:color w:val="FFFFFF" w:themeColor="background1"/>
              </w:rPr>
            </w:pPr>
            <w:r>
              <w:rPr>
                <w:b/>
                <w:color w:val="FFFFFF" w:themeColor="background1"/>
              </w:rPr>
              <w:lastRenderedPageBreak/>
              <w:t>Alternative funding mechanisms</w:t>
            </w:r>
          </w:p>
        </w:tc>
        <w:tc>
          <w:tcPr>
            <w:tcW w:w="7796" w:type="dxa"/>
          </w:tcPr>
          <w:p w:rsidR="00D87610" w:rsidRDefault="00D87610" w:rsidP="00C96AA1">
            <w:pPr>
              <w:ind w:left="33"/>
              <w:rPr>
                <w:i/>
              </w:rPr>
            </w:pPr>
            <w:r>
              <w:rPr>
                <w:i/>
              </w:rPr>
              <w:t>If loan funding is requested how will it be repaid?</w:t>
            </w:r>
          </w:p>
          <w:p w:rsidR="00D87610" w:rsidRDefault="00D87610" w:rsidP="00C96AA1">
            <w:pPr>
              <w:ind w:left="33"/>
              <w:rPr>
                <w:i/>
              </w:rPr>
            </w:pPr>
          </w:p>
          <w:p w:rsidR="00D87610" w:rsidRDefault="00D87610" w:rsidP="00C96AA1">
            <w:pPr>
              <w:ind w:left="33"/>
              <w:rPr>
                <w:i/>
              </w:rPr>
            </w:pPr>
            <w:r>
              <w:rPr>
                <w:i/>
              </w:rPr>
              <w:t>Do you anticipate that the total value of the investment will be repaid? If not, how much will be repaid?</w:t>
            </w:r>
          </w:p>
          <w:p w:rsidR="00177D60" w:rsidRDefault="00177D60" w:rsidP="00C96AA1">
            <w:pPr>
              <w:ind w:left="33"/>
              <w:rPr>
                <w:i/>
              </w:rPr>
            </w:pPr>
          </w:p>
          <w:p w:rsidR="00177D60" w:rsidRPr="00177D60" w:rsidRDefault="00177D60" w:rsidP="00C96AA1">
            <w:pPr>
              <w:ind w:left="33"/>
            </w:pPr>
            <w:r>
              <w:t>n/a</w:t>
            </w:r>
          </w:p>
        </w:tc>
      </w:tr>
    </w:tbl>
    <w:p w:rsidR="0091574B" w:rsidRDefault="0091574B" w:rsidP="008C2F9C">
      <w:pPr>
        <w:spacing w:after="0" w:line="240" w:lineRule="auto"/>
        <w:ind w:left="709" w:hanging="567"/>
        <w:rPr>
          <w:b/>
        </w:rPr>
      </w:pPr>
    </w:p>
    <w:tbl>
      <w:tblPr>
        <w:tblStyle w:val="TableGrid"/>
        <w:tblW w:w="0" w:type="auto"/>
        <w:tblInd w:w="108" w:type="dxa"/>
        <w:tblLook w:val="04A0"/>
      </w:tblPr>
      <w:tblGrid>
        <w:gridCol w:w="2629"/>
        <w:gridCol w:w="7719"/>
      </w:tblGrid>
      <w:tr w:rsidR="006279EC" w:rsidTr="00F75CAF">
        <w:tc>
          <w:tcPr>
            <w:tcW w:w="10348" w:type="dxa"/>
            <w:gridSpan w:val="2"/>
            <w:tcBorders>
              <w:bottom w:val="single" w:sz="4" w:space="0" w:color="auto"/>
            </w:tcBorders>
            <w:shd w:val="clear" w:color="auto" w:fill="000000" w:themeFill="text1"/>
          </w:tcPr>
          <w:p w:rsidR="006279EC" w:rsidRPr="006279EC" w:rsidRDefault="0091574B" w:rsidP="001923FB">
            <w:pPr>
              <w:pStyle w:val="ListParagraph"/>
              <w:numPr>
                <w:ilvl w:val="0"/>
                <w:numId w:val="1"/>
              </w:numPr>
              <w:ind w:left="601" w:hanging="567"/>
              <w:rPr>
                <w:b/>
                <w:sz w:val="24"/>
              </w:rPr>
            </w:pPr>
            <w:r>
              <w:rPr>
                <w:b/>
              </w:rPr>
              <w:br w:type="page"/>
            </w:r>
            <w:r w:rsidR="006279EC" w:rsidRPr="006279EC">
              <w:rPr>
                <w:b/>
                <w:sz w:val="24"/>
              </w:rPr>
              <w:t>DELIVERY/MANAGEMENT CASE</w:t>
            </w:r>
          </w:p>
        </w:tc>
      </w:tr>
      <w:tr w:rsidR="0091574B" w:rsidTr="00F75CAF">
        <w:tc>
          <w:tcPr>
            <w:tcW w:w="10348" w:type="dxa"/>
            <w:gridSpan w:val="2"/>
            <w:shd w:val="clear" w:color="auto" w:fill="FFFFFF" w:themeFill="background1"/>
          </w:tcPr>
          <w:p w:rsidR="0091574B" w:rsidRDefault="0091574B" w:rsidP="00717D45">
            <w:pPr>
              <w:ind w:left="33"/>
              <w:rPr>
                <w:rFonts w:ascii="Arial" w:eastAsia="Calibri" w:hAnsi="Arial" w:cs="Arial"/>
                <w:i/>
                <w:color w:val="000000" w:themeColor="text1"/>
                <w:szCs w:val="24"/>
              </w:rPr>
            </w:pPr>
            <w:r w:rsidRPr="0091574B">
              <w:rPr>
                <w:rFonts w:eastAsia="Calibri" w:cs="Arial"/>
                <w:i/>
                <w:color w:val="000000" w:themeColor="text1"/>
                <w:szCs w:val="24"/>
              </w:rPr>
              <w:t>The management case determines whether the scheme is achievable. It provides evidence of project planning, governance structure, risk management, communications and stakeholder management, benefits realisation and assurance</w:t>
            </w:r>
            <w:r w:rsidRPr="0091574B">
              <w:rPr>
                <w:rFonts w:ascii="Arial" w:eastAsia="Calibri" w:hAnsi="Arial" w:cs="Arial"/>
                <w:i/>
                <w:color w:val="000000" w:themeColor="text1"/>
                <w:szCs w:val="24"/>
              </w:rPr>
              <w:t>.</w:t>
            </w:r>
          </w:p>
          <w:p w:rsidR="0091574B" w:rsidRPr="0091574B" w:rsidRDefault="0091574B" w:rsidP="00717D45">
            <w:pPr>
              <w:ind w:left="33"/>
              <w:rPr>
                <w:i/>
              </w:rPr>
            </w:pPr>
          </w:p>
        </w:tc>
      </w:tr>
      <w:tr w:rsidR="002E2BAE" w:rsidTr="00F75CAF">
        <w:tc>
          <w:tcPr>
            <w:tcW w:w="2629" w:type="dxa"/>
            <w:shd w:val="clear" w:color="auto" w:fill="4BACC6" w:themeFill="accent5"/>
          </w:tcPr>
          <w:p w:rsidR="002E2BAE" w:rsidRPr="00685C6D" w:rsidRDefault="00B61222" w:rsidP="00B61222">
            <w:pPr>
              <w:pStyle w:val="ListParagraph"/>
              <w:numPr>
                <w:ilvl w:val="1"/>
                <w:numId w:val="1"/>
              </w:numPr>
              <w:ind w:left="601" w:hanging="567"/>
              <w:rPr>
                <w:b/>
                <w:color w:val="FFFFFF" w:themeColor="background1"/>
              </w:rPr>
            </w:pPr>
            <w:r w:rsidRPr="00685C6D">
              <w:rPr>
                <w:b/>
                <w:color w:val="FFFFFF" w:themeColor="background1"/>
              </w:rPr>
              <w:t xml:space="preserve">Project management </w:t>
            </w:r>
          </w:p>
        </w:tc>
        <w:tc>
          <w:tcPr>
            <w:tcW w:w="7719" w:type="dxa"/>
          </w:tcPr>
          <w:p w:rsidR="00663109" w:rsidRDefault="00B61222" w:rsidP="00717D45">
            <w:pPr>
              <w:ind w:left="33"/>
              <w:rPr>
                <w:i/>
              </w:rPr>
            </w:pPr>
            <w:r w:rsidRPr="00675461">
              <w:rPr>
                <w:i/>
              </w:rPr>
              <w:t>Please provide details of who will be responsible for delivering the scheme and the different roles and responsibilities they will play. Please also detail the governance structure for the project identifying how key decisions have or will be made, how the scheme will be monitored and details of the contract management arrangements.  Please pro</w:t>
            </w:r>
            <w:r>
              <w:rPr>
                <w:i/>
              </w:rPr>
              <w:t>vide an organogram if available.</w:t>
            </w:r>
          </w:p>
          <w:p w:rsidR="00636BDB" w:rsidRDefault="00636BDB" w:rsidP="007A08DD">
            <w:pPr>
              <w:jc w:val="both"/>
              <w:rPr>
                <w:i/>
              </w:rPr>
            </w:pPr>
          </w:p>
          <w:p w:rsidR="00E926FE" w:rsidRDefault="00636BDB" w:rsidP="007A08DD">
            <w:pPr>
              <w:jc w:val="both"/>
            </w:pPr>
            <w:r>
              <w:t xml:space="preserve">Southend Council is the Project Applicant, LGF Recipient and Project Sponsor, with ultimate responsibility for project and output delivery, working in conjunction with its delivery partner, HBDL. </w:t>
            </w:r>
          </w:p>
          <w:p w:rsidR="00E926FE" w:rsidRDefault="00E926FE" w:rsidP="007A08DD">
            <w:pPr>
              <w:jc w:val="both"/>
            </w:pPr>
          </w:p>
          <w:p w:rsidR="00E926FE" w:rsidRDefault="00975471" w:rsidP="007A08DD">
            <w:pPr>
              <w:jc w:val="both"/>
            </w:pPr>
            <w:r>
              <w:t xml:space="preserve">Comprehensive and transparent project governance and management arrangements have already been established to support delivery. </w:t>
            </w:r>
          </w:p>
          <w:p w:rsidR="00E926FE" w:rsidRDefault="00E926FE" w:rsidP="007A08DD">
            <w:pPr>
              <w:jc w:val="both"/>
            </w:pPr>
          </w:p>
          <w:p w:rsidR="00E926FE" w:rsidRPr="00E926FE" w:rsidRDefault="00E926FE" w:rsidP="007A08DD">
            <w:pPr>
              <w:jc w:val="both"/>
              <w:rPr>
                <w:b/>
              </w:rPr>
            </w:pPr>
            <w:r w:rsidRPr="00E926FE">
              <w:rPr>
                <w:b/>
              </w:rPr>
              <w:t>Project Management</w:t>
            </w:r>
          </w:p>
          <w:p w:rsidR="00E926FE" w:rsidRDefault="00E926FE" w:rsidP="007A08DD">
            <w:pPr>
              <w:jc w:val="both"/>
            </w:pPr>
          </w:p>
          <w:p w:rsidR="00E926FE" w:rsidRDefault="00E926FE" w:rsidP="007A08DD">
            <w:pPr>
              <w:jc w:val="both"/>
            </w:pPr>
            <w:r>
              <w:t xml:space="preserve">An ABP </w:t>
            </w:r>
            <w:r w:rsidR="00975471">
              <w:t xml:space="preserve">Project Team has </w:t>
            </w:r>
            <w:r>
              <w:t xml:space="preserve">already </w:t>
            </w:r>
            <w:r w:rsidR="00975471">
              <w:t xml:space="preserve">been established which meets monthly and comprises membership from </w:t>
            </w:r>
            <w:r w:rsidR="001C7D93">
              <w:t xml:space="preserve">Council Officers </w:t>
            </w:r>
            <w:r w:rsidR="007A08DD">
              <w:t xml:space="preserve">(largely through the Council’s Asset Management Team) </w:t>
            </w:r>
            <w:r w:rsidR="001C7D93">
              <w:t>and the HBDL</w:t>
            </w:r>
            <w:r>
              <w:t xml:space="preserve"> delivery</w:t>
            </w:r>
            <w:r w:rsidR="001C7D93">
              <w:t xml:space="preserve"> team. This has day-to-day responsibility for</w:t>
            </w:r>
            <w:r w:rsidR="007A08DD">
              <w:t xml:space="preserve"> all aspects of</w:t>
            </w:r>
            <w:r w:rsidR="001C7D93">
              <w:t xml:space="preserve"> </w:t>
            </w:r>
            <w:r>
              <w:t>project development and delivery and will lead on all aspects of design, planning, procurement, development and project monitoring on a day to day/on the ground basis.</w:t>
            </w:r>
            <w:r w:rsidR="001B41B0">
              <w:t xml:space="preserve"> The Council’s Group Asset Manager and HBDL’s Development Director for the site communicate on a daily basis and report back to this Project Team. </w:t>
            </w:r>
          </w:p>
          <w:p w:rsidR="001B41B0" w:rsidRDefault="001B41B0" w:rsidP="007A08DD">
            <w:pPr>
              <w:jc w:val="both"/>
            </w:pPr>
          </w:p>
          <w:p w:rsidR="001B41B0" w:rsidRPr="00E926FE" w:rsidRDefault="001B41B0" w:rsidP="001B41B0">
            <w:pPr>
              <w:jc w:val="both"/>
              <w:rPr>
                <w:b/>
              </w:rPr>
            </w:pPr>
            <w:r w:rsidRPr="00E926FE">
              <w:rPr>
                <w:b/>
              </w:rPr>
              <w:t xml:space="preserve">Project </w:t>
            </w:r>
            <w:r>
              <w:rPr>
                <w:b/>
              </w:rPr>
              <w:t>Governance</w:t>
            </w:r>
          </w:p>
          <w:p w:rsidR="00E926FE" w:rsidRDefault="00E926FE" w:rsidP="007A08DD">
            <w:pPr>
              <w:jc w:val="both"/>
            </w:pPr>
          </w:p>
          <w:p w:rsidR="00975471" w:rsidRDefault="001B41B0" w:rsidP="007A08DD">
            <w:pPr>
              <w:jc w:val="both"/>
            </w:pPr>
            <w:r>
              <w:t>The above team</w:t>
            </w:r>
            <w:r w:rsidR="007A08DD">
              <w:t xml:space="preserve"> reports to the ABP Partnership Board which meets quarterly. The</w:t>
            </w:r>
            <w:r w:rsidR="00975471">
              <w:t xml:space="preserve"> membership </w:t>
            </w:r>
            <w:r w:rsidR="007A08DD">
              <w:t xml:space="preserve">of this is comprised of the Council’s Chief Executive Officer </w:t>
            </w:r>
            <w:r w:rsidR="00975471">
              <w:t>and 2 directors</w:t>
            </w:r>
            <w:r w:rsidR="007A08DD">
              <w:t xml:space="preserve"> (Corporate Director for Place and Corporate Director for Corporate Services)</w:t>
            </w:r>
            <w:r w:rsidR="00975471">
              <w:t xml:space="preserve"> plus support officers and HBDL Directors (4 on each side)</w:t>
            </w:r>
            <w:r w:rsidR="007A08DD">
              <w:t>. The purpose of this Board is to make key decisions, take strategic oversight and monitor</w:t>
            </w:r>
            <w:r w:rsidR="00975471">
              <w:t xml:space="preserve"> spend and performance and members of the board report back to SBC Cabinet / HBDL Board as appropriate.</w:t>
            </w:r>
          </w:p>
          <w:p w:rsidR="001B41B0" w:rsidRDefault="001B41B0" w:rsidP="001B41B0">
            <w:pPr>
              <w:ind w:left="33"/>
              <w:jc w:val="both"/>
            </w:pPr>
            <w:r>
              <w:t xml:space="preserve">Capital expenditure will be monitored through the existing Capital Programme </w:t>
            </w:r>
            <w:r>
              <w:lastRenderedPageBreak/>
              <w:t>Monitoring Process and reported to the Council’s Cabinet. All economic outputs will be monitored by the ABP Partnership Board, comprising senior representatives from the Council and HBDL. Progress against key milestones will be reported back to the SELEP through the Project Team at regular intervals as required as part of a dedicated project monitoring process.</w:t>
            </w:r>
          </w:p>
          <w:p w:rsidR="001B41B0" w:rsidRDefault="001B41B0" w:rsidP="007A08DD">
            <w:pPr>
              <w:jc w:val="both"/>
            </w:pPr>
          </w:p>
          <w:p w:rsidR="00ED30B4" w:rsidRDefault="00ED30B4" w:rsidP="007A08DD">
            <w:pPr>
              <w:jc w:val="both"/>
              <w:rPr>
                <w:b/>
              </w:rPr>
            </w:pPr>
            <w:r>
              <w:rPr>
                <w:b/>
              </w:rPr>
              <w:t>Expenditure Procedures:</w:t>
            </w:r>
          </w:p>
          <w:p w:rsidR="00ED30B4" w:rsidRDefault="00ED30B4" w:rsidP="00ED30B4">
            <w:pPr>
              <w:pStyle w:val="ListParagraph"/>
              <w:numPr>
                <w:ilvl w:val="0"/>
                <w:numId w:val="44"/>
              </w:numPr>
            </w:pPr>
            <w:r>
              <w:t>A</w:t>
            </w:r>
            <w:r w:rsidRPr="00ED30B4">
              <w:t xml:space="preserve">nticipated spend profile and </w:t>
            </w:r>
            <w:r>
              <w:t xml:space="preserve">related </w:t>
            </w:r>
            <w:r w:rsidRPr="00ED30B4">
              <w:t xml:space="preserve">items </w:t>
            </w:r>
            <w:r>
              <w:t xml:space="preserve">detailed </w:t>
            </w:r>
            <w:r w:rsidRPr="00ED30B4">
              <w:t>in the DA.</w:t>
            </w:r>
          </w:p>
          <w:p w:rsidR="00ED30B4" w:rsidRDefault="00ED30B4" w:rsidP="00ED30B4">
            <w:pPr>
              <w:pStyle w:val="ListParagraph"/>
              <w:numPr>
                <w:ilvl w:val="0"/>
                <w:numId w:val="44"/>
              </w:numPr>
            </w:pPr>
            <w:r w:rsidRPr="00ED30B4">
              <w:t>Spend against this will be on the basis of HB</w:t>
            </w:r>
            <w:r>
              <w:t>DL</w:t>
            </w:r>
            <w:r w:rsidRPr="00ED30B4">
              <w:t xml:space="preserve"> bringing costed proposals with BC including procurement process to Project Board to consider with proposals tying back</w:t>
            </w:r>
            <w:r>
              <w:t xml:space="preserve"> in to the high level summary. </w:t>
            </w:r>
          </w:p>
          <w:p w:rsidR="00ED30B4" w:rsidRDefault="00ED30B4" w:rsidP="00ED30B4">
            <w:pPr>
              <w:pStyle w:val="ListParagraph"/>
              <w:numPr>
                <w:ilvl w:val="0"/>
                <w:numId w:val="44"/>
              </w:numPr>
            </w:pPr>
            <w:r w:rsidRPr="00ED30B4">
              <w:t>If agreed, Project Board will make a recommendation to Head of Finance and Resources to approve the spend and a requisition can then be raised to commit the funding.</w:t>
            </w:r>
          </w:p>
          <w:p w:rsidR="00ED30B4" w:rsidRDefault="00ED30B4" w:rsidP="00ED30B4">
            <w:pPr>
              <w:pStyle w:val="ListParagraph"/>
              <w:numPr>
                <w:ilvl w:val="0"/>
                <w:numId w:val="44"/>
              </w:numPr>
            </w:pPr>
            <w:r w:rsidRPr="00ED30B4">
              <w:t xml:space="preserve"> Any works will need to be procured to ensure best value through appropriate tendering process in line with the Council’s Contract Procedure Rules including if applicable, OJEU for major works if applicable.</w:t>
            </w:r>
          </w:p>
          <w:p w:rsidR="00ED30B4" w:rsidRDefault="00ED30B4" w:rsidP="00ED30B4">
            <w:pPr>
              <w:pStyle w:val="ListParagraph"/>
              <w:numPr>
                <w:ilvl w:val="0"/>
                <w:numId w:val="44"/>
              </w:numPr>
            </w:pPr>
            <w:r w:rsidRPr="00ED30B4">
              <w:t>Cost can be either paid directly to contractor or via HB by invoicing with certified stage valuations against the purchase order.</w:t>
            </w:r>
          </w:p>
          <w:p w:rsidR="00ED30B4" w:rsidRPr="00ED30B4" w:rsidRDefault="00ED30B4" w:rsidP="00ED30B4">
            <w:pPr>
              <w:pStyle w:val="ListParagraph"/>
              <w:numPr>
                <w:ilvl w:val="0"/>
                <w:numId w:val="44"/>
              </w:numPr>
            </w:pPr>
            <w:r w:rsidRPr="00ED30B4">
              <w:t>The relevant Corporate Director at the Council will nominate an appropriate officer (or appointed agent) to monitor cost &amp; quality at key stages of works.</w:t>
            </w:r>
          </w:p>
          <w:p w:rsidR="00E17CFD" w:rsidRPr="00177D60" w:rsidRDefault="00E17CFD" w:rsidP="00ED30B4"/>
        </w:tc>
      </w:tr>
      <w:tr w:rsidR="002E2BAE" w:rsidTr="00F75CAF">
        <w:trPr>
          <w:trHeight w:val="4948"/>
        </w:trPr>
        <w:tc>
          <w:tcPr>
            <w:tcW w:w="2629" w:type="dxa"/>
            <w:shd w:val="clear" w:color="auto" w:fill="4BACC6" w:themeFill="accent5"/>
          </w:tcPr>
          <w:p w:rsidR="002E2BAE" w:rsidRPr="00685C6D" w:rsidRDefault="00B61222" w:rsidP="00B61222">
            <w:pPr>
              <w:pStyle w:val="ListParagraph"/>
              <w:numPr>
                <w:ilvl w:val="1"/>
                <w:numId w:val="1"/>
              </w:numPr>
              <w:ind w:left="601" w:hanging="567"/>
              <w:rPr>
                <w:b/>
                <w:color w:val="FFFFFF" w:themeColor="background1"/>
              </w:rPr>
            </w:pPr>
            <w:r>
              <w:rPr>
                <w:b/>
                <w:color w:val="FFFFFF" w:themeColor="background1"/>
              </w:rPr>
              <w:lastRenderedPageBreak/>
              <w:t>Outputs</w:t>
            </w:r>
          </w:p>
        </w:tc>
        <w:tc>
          <w:tcPr>
            <w:tcW w:w="7719" w:type="dxa"/>
          </w:tcPr>
          <w:p w:rsidR="004A4AE3" w:rsidRDefault="004A4AE3" w:rsidP="004A4AE3">
            <w:pPr>
              <w:ind w:left="33"/>
              <w:rPr>
                <w:i/>
              </w:rPr>
            </w:pPr>
            <w:r w:rsidRPr="00675461">
              <w:rPr>
                <w:i/>
              </w:rPr>
              <w:t xml:space="preserve">Please identify how the outputs for the scheme will be achieved </w:t>
            </w:r>
            <w:r>
              <w:rPr>
                <w:i/>
              </w:rPr>
              <w:t xml:space="preserve">within the programme timescales </w:t>
            </w:r>
            <w:r w:rsidRPr="00675461">
              <w:rPr>
                <w:i/>
              </w:rPr>
              <w:t xml:space="preserve">and details of how the project will be monitored and evaluated. </w:t>
            </w:r>
            <w:r>
              <w:rPr>
                <w:i/>
              </w:rPr>
              <w:t>Please also complete the outputs delivery table.</w:t>
            </w:r>
          </w:p>
          <w:p w:rsidR="00F75CAF" w:rsidRDefault="00F75CAF" w:rsidP="004A4AE3">
            <w:pPr>
              <w:ind w:left="33"/>
              <w:rPr>
                <w:i/>
              </w:rPr>
            </w:pPr>
          </w:p>
          <w:p w:rsidR="00F75CAF" w:rsidRDefault="00F84604" w:rsidP="009D3C97">
            <w:pPr>
              <w:ind w:left="33"/>
              <w:jc w:val="both"/>
            </w:pPr>
            <w:r>
              <w:t>Scheme outputs include:</w:t>
            </w:r>
          </w:p>
          <w:p w:rsidR="00F84604" w:rsidRDefault="00F84604" w:rsidP="009D3C97">
            <w:pPr>
              <w:ind w:left="33"/>
              <w:jc w:val="both"/>
            </w:pPr>
          </w:p>
          <w:p w:rsidR="00F84604" w:rsidRDefault="00F84604" w:rsidP="009D3C97">
            <w:pPr>
              <w:pStyle w:val="ListParagraph"/>
              <w:numPr>
                <w:ilvl w:val="0"/>
                <w:numId w:val="40"/>
              </w:numPr>
              <w:jc w:val="both"/>
            </w:pPr>
            <w:r>
              <w:t>Direct construction jobs associated with the infrastructure works</w:t>
            </w:r>
          </w:p>
          <w:p w:rsidR="00F84604" w:rsidRDefault="00F84604" w:rsidP="009D3C97">
            <w:pPr>
              <w:pStyle w:val="ListParagraph"/>
              <w:numPr>
                <w:ilvl w:val="0"/>
                <w:numId w:val="40"/>
              </w:numPr>
              <w:jc w:val="both"/>
            </w:pPr>
            <w:r>
              <w:t>Indirect construction jobs associated with the development of commercial floorspace unlocked by the infrastructure works</w:t>
            </w:r>
          </w:p>
          <w:p w:rsidR="00F84604" w:rsidRDefault="00F84604" w:rsidP="009D3C97">
            <w:pPr>
              <w:pStyle w:val="ListParagraph"/>
              <w:numPr>
                <w:ilvl w:val="0"/>
                <w:numId w:val="40"/>
              </w:numPr>
              <w:jc w:val="both"/>
            </w:pPr>
            <w:r>
              <w:t>Development of new commercial floorspace</w:t>
            </w:r>
          </w:p>
          <w:p w:rsidR="00F84604" w:rsidRPr="00F84604" w:rsidRDefault="00F84604" w:rsidP="009D3C97">
            <w:pPr>
              <w:pStyle w:val="ListParagraph"/>
              <w:numPr>
                <w:ilvl w:val="0"/>
                <w:numId w:val="40"/>
              </w:numPr>
              <w:jc w:val="both"/>
            </w:pPr>
            <w:r>
              <w:t>Indirect permanent employment outputs associated with the occupation of commercial floorspace unlocked by the infrastructure works</w:t>
            </w:r>
          </w:p>
          <w:p w:rsidR="00F75CAF" w:rsidRDefault="00F75CAF" w:rsidP="009D3C97">
            <w:pPr>
              <w:ind w:left="33"/>
              <w:jc w:val="both"/>
              <w:rPr>
                <w:i/>
              </w:rPr>
            </w:pPr>
          </w:p>
          <w:p w:rsidR="00F75CAF" w:rsidRPr="00F84604" w:rsidRDefault="00F84604" w:rsidP="009D3C97">
            <w:pPr>
              <w:ind w:left="33"/>
              <w:jc w:val="both"/>
            </w:pPr>
            <w:r>
              <w:t xml:space="preserve">All </w:t>
            </w:r>
            <w:r w:rsidR="00BB628C">
              <w:t xml:space="preserve">indirect permanent employment </w:t>
            </w:r>
            <w:r>
              <w:t xml:space="preserve">outputs will be delivered by March 2021 and this is based upon a market informed take-up profile for the phase 1 site </w:t>
            </w:r>
            <w:r w:rsidR="009D3C97">
              <w:t xml:space="preserve">which provides assurance over the delivery prospects. Ultimately built development will only be delivered on the back of occupier commitments to lease space but we are confident of the demand prospects for the site given its location, profile and scale and the dearth of similar existing/planned land/premises locally. </w:t>
            </w:r>
          </w:p>
          <w:p w:rsidR="00C36C9E" w:rsidRDefault="00C36C9E" w:rsidP="004A4AE3">
            <w:pPr>
              <w:ind w:left="33"/>
              <w:rPr>
                <w:i/>
              </w:rPr>
            </w:pPr>
          </w:p>
          <w:p w:rsidR="004A4AE3" w:rsidRDefault="004A4AE3" w:rsidP="00717D45">
            <w:pPr>
              <w:ind w:left="33"/>
            </w:pPr>
          </w:p>
          <w:tbl>
            <w:tblPr>
              <w:tblStyle w:val="TableGrid"/>
              <w:tblW w:w="0" w:type="auto"/>
              <w:tblInd w:w="175" w:type="dxa"/>
              <w:tblLook w:val="04A0"/>
            </w:tblPr>
            <w:tblGrid>
              <w:gridCol w:w="1413"/>
              <w:gridCol w:w="968"/>
              <w:gridCol w:w="969"/>
              <w:gridCol w:w="968"/>
              <w:gridCol w:w="969"/>
              <w:gridCol w:w="968"/>
              <w:gridCol w:w="969"/>
            </w:tblGrid>
            <w:tr w:rsidR="004A4AE3">
              <w:tc>
                <w:tcPr>
                  <w:tcW w:w="1413" w:type="dxa"/>
                </w:tcPr>
                <w:p w:rsidR="004A4AE3" w:rsidRPr="00C96AA1" w:rsidRDefault="004A4AE3" w:rsidP="009167BF">
                  <w:pPr>
                    <w:rPr>
                      <w:b/>
                      <w:color w:val="000000" w:themeColor="text1"/>
                    </w:rPr>
                  </w:pPr>
                  <w:r>
                    <w:rPr>
                      <w:b/>
                      <w:color w:val="000000" w:themeColor="text1"/>
                    </w:rPr>
                    <w:t xml:space="preserve">Output </w:t>
                  </w:r>
                </w:p>
              </w:tc>
              <w:tc>
                <w:tcPr>
                  <w:tcW w:w="968" w:type="dxa"/>
                </w:tcPr>
                <w:p w:rsidR="004A4AE3" w:rsidRPr="00C96AA1" w:rsidRDefault="004A4AE3" w:rsidP="009167BF">
                  <w:pPr>
                    <w:rPr>
                      <w:b/>
                      <w:color w:val="000000" w:themeColor="text1"/>
                    </w:rPr>
                  </w:pPr>
                  <w:r w:rsidRPr="00C96AA1">
                    <w:rPr>
                      <w:b/>
                      <w:color w:val="000000" w:themeColor="text1"/>
                    </w:rPr>
                    <w:t>16/17</w:t>
                  </w:r>
                </w:p>
              </w:tc>
              <w:tc>
                <w:tcPr>
                  <w:tcW w:w="969" w:type="dxa"/>
                </w:tcPr>
                <w:p w:rsidR="004A4AE3" w:rsidRPr="00C96AA1" w:rsidRDefault="004A4AE3" w:rsidP="009167BF">
                  <w:pPr>
                    <w:rPr>
                      <w:b/>
                      <w:color w:val="000000" w:themeColor="text1"/>
                    </w:rPr>
                  </w:pPr>
                  <w:r w:rsidRPr="00C96AA1">
                    <w:rPr>
                      <w:b/>
                      <w:color w:val="000000" w:themeColor="text1"/>
                    </w:rPr>
                    <w:t>17/18</w:t>
                  </w:r>
                </w:p>
              </w:tc>
              <w:tc>
                <w:tcPr>
                  <w:tcW w:w="968" w:type="dxa"/>
                </w:tcPr>
                <w:p w:rsidR="004A4AE3" w:rsidRPr="00C96AA1" w:rsidRDefault="004A4AE3" w:rsidP="009167BF">
                  <w:pPr>
                    <w:rPr>
                      <w:b/>
                      <w:color w:val="000000" w:themeColor="text1"/>
                    </w:rPr>
                  </w:pPr>
                  <w:r w:rsidRPr="00C96AA1">
                    <w:rPr>
                      <w:b/>
                      <w:color w:val="000000" w:themeColor="text1"/>
                    </w:rPr>
                    <w:t>18/19</w:t>
                  </w:r>
                </w:p>
              </w:tc>
              <w:tc>
                <w:tcPr>
                  <w:tcW w:w="969" w:type="dxa"/>
                </w:tcPr>
                <w:p w:rsidR="004A4AE3" w:rsidRPr="00C96AA1" w:rsidRDefault="004A4AE3" w:rsidP="009167BF">
                  <w:pPr>
                    <w:rPr>
                      <w:b/>
                      <w:color w:val="000000" w:themeColor="text1"/>
                    </w:rPr>
                  </w:pPr>
                  <w:r w:rsidRPr="00C96AA1">
                    <w:rPr>
                      <w:b/>
                      <w:color w:val="000000" w:themeColor="text1"/>
                    </w:rPr>
                    <w:t>19/20</w:t>
                  </w:r>
                </w:p>
              </w:tc>
              <w:tc>
                <w:tcPr>
                  <w:tcW w:w="968" w:type="dxa"/>
                </w:tcPr>
                <w:p w:rsidR="004A4AE3" w:rsidRPr="00C96AA1" w:rsidRDefault="004A4AE3" w:rsidP="009167BF">
                  <w:pPr>
                    <w:rPr>
                      <w:b/>
                      <w:color w:val="000000" w:themeColor="text1"/>
                    </w:rPr>
                  </w:pPr>
                  <w:r w:rsidRPr="00C96AA1">
                    <w:rPr>
                      <w:b/>
                      <w:color w:val="000000" w:themeColor="text1"/>
                    </w:rPr>
                    <w:t>20/21</w:t>
                  </w:r>
                </w:p>
              </w:tc>
              <w:tc>
                <w:tcPr>
                  <w:tcW w:w="969" w:type="dxa"/>
                </w:tcPr>
                <w:p w:rsidR="004A4AE3" w:rsidRPr="00C96AA1" w:rsidRDefault="004A4AE3" w:rsidP="009167BF">
                  <w:pPr>
                    <w:rPr>
                      <w:b/>
                      <w:color w:val="000000" w:themeColor="text1"/>
                    </w:rPr>
                  </w:pPr>
                  <w:r w:rsidRPr="00C96AA1">
                    <w:rPr>
                      <w:b/>
                      <w:color w:val="000000" w:themeColor="text1"/>
                    </w:rPr>
                    <w:t>Total</w:t>
                  </w:r>
                </w:p>
              </w:tc>
            </w:tr>
            <w:tr w:rsidR="004A4AE3">
              <w:tc>
                <w:tcPr>
                  <w:tcW w:w="1413" w:type="dxa"/>
                </w:tcPr>
                <w:p w:rsidR="004A4AE3" w:rsidRDefault="004A4AE3" w:rsidP="009167BF">
                  <w:pPr>
                    <w:rPr>
                      <w:color w:val="000000" w:themeColor="text1"/>
                    </w:rPr>
                  </w:pPr>
                  <w:r>
                    <w:rPr>
                      <w:color w:val="000000" w:themeColor="text1"/>
                    </w:rPr>
                    <w:t>Direct jobs</w:t>
                  </w:r>
                  <w:r w:rsidR="00BB628C">
                    <w:rPr>
                      <w:color w:val="000000" w:themeColor="text1"/>
                    </w:rPr>
                    <w:t xml:space="preserve"> (gross)</w:t>
                  </w:r>
                </w:p>
              </w:tc>
              <w:tc>
                <w:tcPr>
                  <w:tcW w:w="968" w:type="dxa"/>
                </w:tcPr>
                <w:p w:rsidR="004A4AE3" w:rsidRDefault="001F21AB" w:rsidP="009167BF">
                  <w:pPr>
                    <w:rPr>
                      <w:color w:val="000000" w:themeColor="text1"/>
                    </w:rPr>
                  </w:pPr>
                  <w:r>
                    <w:rPr>
                      <w:color w:val="000000" w:themeColor="text1"/>
                    </w:rPr>
                    <w:t>108</w:t>
                  </w:r>
                </w:p>
              </w:tc>
              <w:tc>
                <w:tcPr>
                  <w:tcW w:w="969" w:type="dxa"/>
                </w:tcPr>
                <w:p w:rsidR="004A4AE3" w:rsidRDefault="001F21AB" w:rsidP="009167BF">
                  <w:pPr>
                    <w:rPr>
                      <w:color w:val="000000" w:themeColor="text1"/>
                    </w:rPr>
                  </w:pPr>
                  <w:r>
                    <w:rPr>
                      <w:color w:val="000000" w:themeColor="text1"/>
                    </w:rPr>
                    <w:t>14</w:t>
                  </w:r>
                </w:p>
              </w:tc>
              <w:tc>
                <w:tcPr>
                  <w:tcW w:w="968" w:type="dxa"/>
                </w:tcPr>
                <w:p w:rsidR="004A4AE3" w:rsidRDefault="004A4AE3" w:rsidP="009167BF">
                  <w:pPr>
                    <w:rPr>
                      <w:color w:val="000000" w:themeColor="text1"/>
                    </w:rPr>
                  </w:pPr>
                </w:p>
              </w:tc>
              <w:tc>
                <w:tcPr>
                  <w:tcW w:w="969" w:type="dxa"/>
                </w:tcPr>
                <w:p w:rsidR="004A4AE3" w:rsidRDefault="004A4AE3" w:rsidP="009167BF">
                  <w:pPr>
                    <w:rPr>
                      <w:color w:val="000000" w:themeColor="text1"/>
                    </w:rPr>
                  </w:pPr>
                </w:p>
              </w:tc>
              <w:tc>
                <w:tcPr>
                  <w:tcW w:w="968" w:type="dxa"/>
                </w:tcPr>
                <w:p w:rsidR="004A4AE3" w:rsidRDefault="004A4AE3" w:rsidP="009167BF">
                  <w:pPr>
                    <w:rPr>
                      <w:color w:val="000000" w:themeColor="text1"/>
                    </w:rPr>
                  </w:pPr>
                </w:p>
              </w:tc>
              <w:tc>
                <w:tcPr>
                  <w:tcW w:w="969" w:type="dxa"/>
                </w:tcPr>
                <w:p w:rsidR="004A4AE3" w:rsidRDefault="001F21AB" w:rsidP="009167BF">
                  <w:pPr>
                    <w:rPr>
                      <w:color w:val="000000" w:themeColor="text1"/>
                    </w:rPr>
                  </w:pPr>
                  <w:r>
                    <w:rPr>
                      <w:color w:val="000000" w:themeColor="text1"/>
                    </w:rPr>
                    <w:t>123</w:t>
                  </w:r>
                  <w:r w:rsidR="00BB628C">
                    <w:rPr>
                      <w:color w:val="000000" w:themeColor="text1"/>
                    </w:rPr>
                    <w:t>*</w:t>
                  </w:r>
                </w:p>
              </w:tc>
            </w:tr>
            <w:tr w:rsidR="004A4AE3">
              <w:tc>
                <w:tcPr>
                  <w:tcW w:w="1413" w:type="dxa"/>
                </w:tcPr>
                <w:p w:rsidR="004A4AE3" w:rsidRDefault="004A4AE3" w:rsidP="009167BF">
                  <w:pPr>
                    <w:rPr>
                      <w:color w:val="000000" w:themeColor="text1"/>
                    </w:rPr>
                  </w:pPr>
                  <w:r>
                    <w:rPr>
                      <w:color w:val="000000" w:themeColor="text1"/>
                    </w:rPr>
                    <w:t>Indirect jobs</w:t>
                  </w:r>
                  <w:r w:rsidR="00F75CAF">
                    <w:rPr>
                      <w:color w:val="000000" w:themeColor="text1"/>
                    </w:rPr>
                    <w:t xml:space="preserve"> (gross)*</w:t>
                  </w:r>
                  <w:r w:rsidR="0092334B">
                    <w:rPr>
                      <w:color w:val="000000" w:themeColor="text1"/>
                    </w:rPr>
                    <w:t>*</w:t>
                  </w:r>
                </w:p>
              </w:tc>
              <w:tc>
                <w:tcPr>
                  <w:tcW w:w="968" w:type="dxa"/>
                </w:tcPr>
                <w:p w:rsidR="004A4AE3" w:rsidRDefault="004A4AE3" w:rsidP="009167BF">
                  <w:pPr>
                    <w:rPr>
                      <w:color w:val="000000" w:themeColor="text1"/>
                    </w:rPr>
                  </w:pPr>
                </w:p>
              </w:tc>
              <w:tc>
                <w:tcPr>
                  <w:tcW w:w="969" w:type="dxa"/>
                </w:tcPr>
                <w:p w:rsidR="004A4AE3" w:rsidRDefault="00F75CAF" w:rsidP="009167BF">
                  <w:pPr>
                    <w:rPr>
                      <w:color w:val="000000" w:themeColor="text1"/>
                    </w:rPr>
                  </w:pPr>
                  <w:r>
                    <w:rPr>
                      <w:color w:val="000000" w:themeColor="text1"/>
                    </w:rPr>
                    <w:t>141</w:t>
                  </w:r>
                </w:p>
              </w:tc>
              <w:tc>
                <w:tcPr>
                  <w:tcW w:w="968" w:type="dxa"/>
                </w:tcPr>
                <w:p w:rsidR="004A4AE3" w:rsidRDefault="0092334B" w:rsidP="001F21AB">
                  <w:pPr>
                    <w:rPr>
                      <w:color w:val="000000" w:themeColor="text1"/>
                    </w:rPr>
                  </w:pPr>
                  <w:r>
                    <w:rPr>
                      <w:color w:val="000000" w:themeColor="text1"/>
                    </w:rPr>
                    <w:t>3</w:t>
                  </w:r>
                  <w:r w:rsidR="001F21AB">
                    <w:rPr>
                      <w:color w:val="000000" w:themeColor="text1"/>
                    </w:rPr>
                    <w:t>56</w:t>
                  </w:r>
                </w:p>
              </w:tc>
              <w:tc>
                <w:tcPr>
                  <w:tcW w:w="969" w:type="dxa"/>
                </w:tcPr>
                <w:p w:rsidR="004A4AE3" w:rsidRDefault="00F75CAF" w:rsidP="009167BF">
                  <w:pPr>
                    <w:rPr>
                      <w:color w:val="000000" w:themeColor="text1"/>
                    </w:rPr>
                  </w:pPr>
                  <w:r>
                    <w:rPr>
                      <w:color w:val="000000" w:themeColor="text1"/>
                    </w:rPr>
                    <w:t>231</w:t>
                  </w:r>
                </w:p>
              </w:tc>
              <w:tc>
                <w:tcPr>
                  <w:tcW w:w="968" w:type="dxa"/>
                </w:tcPr>
                <w:p w:rsidR="004A4AE3" w:rsidRDefault="00F75CAF" w:rsidP="009167BF">
                  <w:pPr>
                    <w:rPr>
                      <w:color w:val="000000" w:themeColor="text1"/>
                    </w:rPr>
                  </w:pPr>
                  <w:r>
                    <w:rPr>
                      <w:color w:val="000000" w:themeColor="text1"/>
                    </w:rPr>
                    <w:t>357</w:t>
                  </w:r>
                </w:p>
              </w:tc>
              <w:tc>
                <w:tcPr>
                  <w:tcW w:w="969" w:type="dxa"/>
                </w:tcPr>
                <w:p w:rsidR="004A4AE3" w:rsidRDefault="0092334B" w:rsidP="001F21AB">
                  <w:pPr>
                    <w:rPr>
                      <w:color w:val="000000" w:themeColor="text1"/>
                    </w:rPr>
                  </w:pPr>
                  <w:r>
                    <w:rPr>
                      <w:color w:val="000000" w:themeColor="text1"/>
                    </w:rPr>
                    <w:t>1,</w:t>
                  </w:r>
                  <w:r w:rsidR="001F21AB">
                    <w:rPr>
                      <w:color w:val="000000" w:themeColor="text1"/>
                    </w:rPr>
                    <w:t>084</w:t>
                  </w:r>
                </w:p>
              </w:tc>
            </w:tr>
            <w:tr w:rsidR="004A4AE3">
              <w:tc>
                <w:tcPr>
                  <w:tcW w:w="1413" w:type="dxa"/>
                </w:tcPr>
                <w:p w:rsidR="004A4AE3" w:rsidRDefault="004A4AE3" w:rsidP="009167BF">
                  <w:pPr>
                    <w:rPr>
                      <w:color w:val="000000" w:themeColor="text1"/>
                    </w:rPr>
                  </w:pPr>
                  <w:r>
                    <w:rPr>
                      <w:color w:val="000000" w:themeColor="text1"/>
                    </w:rPr>
                    <w:t>Jobs safeguarded</w:t>
                  </w:r>
                </w:p>
              </w:tc>
              <w:tc>
                <w:tcPr>
                  <w:tcW w:w="968" w:type="dxa"/>
                </w:tcPr>
                <w:p w:rsidR="004A4AE3" w:rsidRDefault="004A4AE3" w:rsidP="009167BF">
                  <w:pPr>
                    <w:rPr>
                      <w:color w:val="000000" w:themeColor="text1"/>
                    </w:rPr>
                  </w:pPr>
                </w:p>
              </w:tc>
              <w:tc>
                <w:tcPr>
                  <w:tcW w:w="969" w:type="dxa"/>
                </w:tcPr>
                <w:p w:rsidR="004A4AE3" w:rsidRDefault="004A4AE3" w:rsidP="009167BF">
                  <w:pPr>
                    <w:rPr>
                      <w:color w:val="000000" w:themeColor="text1"/>
                    </w:rPr>
                  </w:pPr>
                </w:p>
              </w:tc>
              <w:tc>
                <w:tcPr>
                  <w:tcW w:w="968" w:type="dxa"/>
                </w:tcPr>
                <w:p w:rsidR="004A4AE3" w:rsidRDefault="004A4AE3" w:rsidP="009167BF">
                  <w:pPr>
                    <w:rPr>
                      <w:color w:val="000000" w:themeColor="text1"/>
                    </w:rPr>
                  </w:pPr>
                </w:p>
              </w:tc>
              <w:tc>
                <w:tcPr>
                  <w:tcW w:w="969" w:type="dxa"/>
                </w:tcPr>
                <w:p w:rsidR="004A4AE3" w:rsidRDefault="004A4AE3" w:rsidP="009167BF">
                  <w:pPr>
                    <w:rPr>
                      <w:color w:val="000000" w:themeColor="text1"/>
                    </w:rPr>
                  </w:pPr>
                </w:p>
              </w:tc>
              <w:tc>
                <w:tcPr>
                  <w:tcW w:w="968" w:type="dxa"/>
                </w:tcPr>
                <w:p w:rsidR="004A4AE3" w:rsidRDefault="004A4AE3" w:rsidP="009167BF">
                  <w:pPr>
                    <w:rPr>
                      <w:color w:val="000000" w:themeColor="text1"/>
                    </w:rPr>
                  </w:pPr>
                </w:p>
              </w:tc>
              <w:tc>
                <w:tcPr>
                  <w:tcW w:w="969" w:type="dxa"/>
                </w:tcPr>
                <w:p w:rsidR="004A4AE3" w:rsidRDefault="004A4AE3" w:rsidP="009167BF">
                  <w:pPr>
                    <w:rPr>
                      <w:color w:val="000000" w:themeColor="text1"/>
                    </w:rPr>
                  </w:pPr>
                </w:p>
              </w:tc>
            </w:tr>
            <w:tr w:rsidR="004A4AE3">
              <w:tc>
                <w:tcPr>
                  <w:tcW w:w="1413" w:type="dxa"/>
                </w:tcPr>
                <w:p w:rsidR="004A4AE3" w:rsidRDefault="004A4AE3" w:rsidP="009167BF">
                  <w:pPr>
                    <w:rPr>
                      <w:color w:val="000000" w:themeColor="text1"/>
                    </w:rPr>
                  </w:pPr>
                  <w:r>
                    <w:rPr>
                      <w:color w:val="000000" w:themeColor="text1"/>
                    </w:rPr>
                    <w:t>Employment space</w:t>
                  </w:r>
                  <w:r w:rsidR="00F75CAF">
                    <w:rPr>
                      <w:color w:val="000000" w:themeColor="text1"/>
                    </w:rPr>
                    <w:t xml:space="preserve"> (sqm)</w:t>
                  </w:r>
                </w:p>
              </w:tc>
              <w:tc>
                <w:tcPr>
                  <w:tcW w:w="968" w:type="dxa"/>
                </w:tcPr>
                <w:p w:rsidR="004A4AE3" w:rsidRDefault="004A4AE3" w:rsidP="009167BF">
                  <w:pPr>
                    <w:rPr>
                      <w:color w:val="000000" w:themeColor="text1"/>
                    </w:rPr>
                  </w:pPr>
                </w:p>
              </w:tc>
              <w:tc>
                <w:tcPr>
                  <w:tcW w:w="969" w:type="dxa"/>
                </w:tcPr>
                <w:p w:rsidR="004A4AE3" w:rsidRDefault="00F75CAF" w:rsidP="009167BF">
                  <w:pPr>
                    <w:rPr>
                      <w:color w:val="000000" w:themeColor="text1"/>
                    </w:rPr>
                  </w:pPr>
                  <w:r>
                    <w:rPr>
                      <w:color w:val="000000" w:themeColor="text1"/>
                    </w:rPr>
                    <w:t>2,348</w:t>
                  </w:r>
                </w:p>
              </w:tc>
              <w:tc>
                <w:tcPr>
                  <w:tcW w:w="968" w:type="dxa"/>
                </w:tcPr>
                <w:p w:rsidR="004A4AE3" w:rsidRDefault="00F75CAF" w:rsidP="009167BF">
                  <w:pPr>
                    <w:rPr>
                      <w:color w:val="000000" w:themeColor="text1"/>
                    </w:rPr>
                  </w:pPr>
                  <w:r>
                    <w:rPr>
                      <w:color w:val="000000" w:themeColor="text1"/>
                    </w:rPr>
                    <w:t>10,268</w:t>
                  </w:r>
                </w:p>
              </w:tc>
              <w:tc>
                <w:tcPr>
                  <w:tcW w:w="969" w:type="dxa"/>
                </w:tcPr>
                <w:p w:rsidR="004A4AE3" w:rsidRDefault="00F75CAF" w:rsidP="009167BF">
                  <w:pPr>
                    <w:rPr>
                      <w:color w:val="000000" w:themeColor="text1"/>
                    </w:rPr>
                  </w:pPr>
                  <w:r>
                    <w:rPr>
                      <w:color w:val="000000" w:themeColor="text1"/>
                    </w:rPr>
                    <w:t>3,852</w:t>
                  </w:r>
                </w:p>
              </w:tc>
              <w:tc>
                <w:tcPr>
                  <w:tcW w:w="968" w:type="dxa"/>
                </w:tcPr>
                <w:p w:rsidR="004A4AE3" w:rsidRDefault="00F75CAF" w:rsidP="009167BF">
                  <w:pPr>
                    <w:rPr>
                      <w:color w:val="000000" w:themeColor="text1"/>
                    </w:rPr>
                  </w:pPr>
                  <w:r>
                    <w:rPr>
                      <w:color w:val="000000" w:themeColor="text1"/>
                    </w:rPr>
                    <w:t>5,943</w:t>
                  </w:r>
                </w:p>
              </w:tc>
              <w:tc>
                <w:tcPr>
                  <w:tcW w:w="969" w:type="dxa"/>
                </w:tcPr>
                <w:p w:rsidR="004A4AE3" w:rsidRDefault="00F75CAF" w:rsidP="009167BF">
                  <w:pPr>
                    <w:rPr>
                      <w:color w:val="000000" w:themeColor="text1"/>
                    </w:rPr>
                  </w:pPr>
                  <w:r>
                    <w:rPr>
                      <w:color w:val="000000" w:themeColor="text1"/>
                    </w:rPr>
                    <w:t>22,410</w:t>
                  </w:r>
                </w:p>
              </w:tc>
            </w:tr>
            <w:tr w:rsidR="004A4AE3">
              <w:tc>
                <w:tcPr>
                  <w:tcW w:w="1413" w:type="dxa"/>
                </w:tcPr>
                <w:p w:rsidR="004A4AE3" w:rsidRDefault="004A4AE3" w:rsidP="009167BF">
                  <w:pPr>
                    <w:rPr>
                      <w:color w:val="000000" w:themeColor="text1"/>
                    </w:rPr>
                  </w:pPr>
                  <w:r>
                    <w:rPr>
                      <w:color w:val="000000" w:themeColor="text1"/>
                    </w:rPr>
                    <w:lastRenderedPageBreak/>
                    <w:t>Housing starts</w:t>
                  </w:r>
                </w:p>
              </w:tc>
              <w:tc>
                <w:tcPr>
                  <w:tcW w:w="968" w:type="dxa"/>
                </w:tcPr>
                <w:p w:rsidR="004A4AE3" w:rsidRDefault="004A4AE3" w:rsidP="009167BF">
                  <w:pPr>
                    <w:rPr>
                      <w:color w:val="000000" w:themeColor="text1"/>
                    </w:rPr>
                  </w:pPr>
                </w:p>
              </w:tc>
              <w:tc>
                <w:tcPr>
                  <w:tcW w:w="969" w:type="dxa"/>
                </w:tcPr>
                <w:p w:rsidR="004A4AE3" w:rsidRDefault="004A4AE3" w:rsidP="009167BF">
                  <w:pPr>
                    <w:rPr>
                      <w:color w:val="000000" w:themeColor="text1"/>
                    </w:rPr>
                  </w:pPr>
                </w:p>
              </w:tc>
              <w:tc>
                <w:tcPr>
                  <w:tcW w:w="968" w:type="dxa"/>
                </w:tcPr>
                <w:p w:rsidR="004A4AE3" w:rsidRDefault="004A4AE3" w:rsidP="009167BF">
                  <w:pPr>
                    <w:rPr>
                      <w:color w:val="000000" w:themeColor="text1"/>
                    </w:rPr>
                  </w:pPr>
                </w:p>
              </w:tc>
              <w:tc>
                <w:tcPr>
                  <w:tcW w:w="969" w:type="dxa"/>
                </w:tcPr>
                <w:p w:rsidR="004A4AE3" w:rsidRDefault="004A4AE3" w:rsidP="009167BF">
                  <w:pPr>
                    <w:rPr>
                      <w:color w:val="000000" w:themeColor="text1"/>
                    </w:rPr>
                  </w:pPr>
                </w:p>
              </w:tc>
              <w:tc>
                <w:tcPr>
                  <w:tcW w:w="968" w:type="dxa"/>
                </w:tcPr>
                <w:p w:rsidR="004A4AE3" w:rsidRDefault="004A4AE3" w:rsidP="009167BF">
                  <w:pPr>
                    <w:rPr>
                      <w:color w:val="000000" w:themeColor="text1"/>
                    </w:rPr>
                  </w:pPr>
                </w:p>
              </w:tc>
              <w:tc>
                <w:tcPr>
                  <w:tcW w:w="969" w:type="dxa"/>
                </w:tcPr>
                <w:p w:rsidR="004A4AE3" w:rsidRDefault="004A4AE3" w:rsidP="009167BF">
                  <w:pPr>
                    <w:rPr>
                      <w:color w:val="000000" w:themeColor="text1"/>
                    </w:rPr>
                  </w:pPr>
                </w:p>
              </w:tc>
            </w:tr>
            <w:tr w:rsidR="004A4AE3">
              <w:tc>
                <w:tcPr>
                  <w:tcW w:w="1413" w:type="dxa"/>
                </w:tcPr>
                <w:p w:rsidR="004A4AE3" w:rsidRDefault="004A4AE3" w:rsidP="009167BF">
                  <w:pPr>
                    <w:rPr>
                      <w:color w:val="000000" w:themeColor="text1"/>
                    </w:rPr>
                  </w:pPr>
                  <w:r>
                    <w:rPr>
                      <w:color w:val="000000" w:themeColor="text1"/>
                    </w:rPr>
                    <w:t>Housing completions</w:t>
                  </w:r>
                </w:p>
              </w:tc>
              <w:tc>
                <w:tcPr>
                  <w:tcW w:w="968" w:type="dxa"/>
                </w:tcPr>
                <w:p w:rsidR="004A4AE3" w:rsidRDefault="004A4AE3" w:rsidP="009167BF">
                  <w:pPr>
                    <w:rPr>
                      <w:color w:val="000000" w:themeColor="text1"/>
                    </w:rPr>
                  </w:pPr>
                </w:p>
              </w:tc>
              <w:tc>
                <w:tcPr>
                  <w:tcW w:w="969" w:type="dxa"/>
                </w:tcPr>
                <w:p w:rsidR="004A4AE3" w:rsidRDefault="004A4AE3" w:rsidP="009167BF">
                  <w:pPr>
                    <w:rPr>
                      <w:color w:val="000000" w:themeColor="text1"/>
                    </w:rPr>
                  </w:pPr>
                </w:p>
              </w:tc>
              <w:tc>
                <w:tcPr>
                  <w:tcW w:w="968" w:type="dxa"/>
                </w:tcPr>
                <w:p w:rsidR="004A4AE3" w:rsidRDefault="004A4AE3" w:rsidP="009167BF">
                  <w:pPr>
                    <w:rPr>
                      <w:color w:val="000000" w:themeColor="text1"/>
                    </w:rPr>
                  </w:pPr>
                </w:p>
              </w:tc>
              <w:tc>
                <w:tcPr>
                  <w:tcW w:w="969" w:type="dxa"/>
                </w:tcPr>
                <w:p w:rsidR="004A4AE3" w:rsidRDefault="004A4AE3" w:rsidP="009167BF">
                  <w:pPr>
                    <w:rPr>
                      <w:color w:val="000000" w:themeColor="text1"/>
                    </w:rPr>
                  </w:pPr>
                </w:p>
              </w:tc>
              <w:tc>
                <w:tcPr>
                  <w:tcW w:w="968" w:type="dxa"/>
                </w:tcPr>
                <w:p w:rsidR="004A4AE3" w:rsidRDefault="004A4AE3" w:rsidP="009167BF">
                  <w:pPr>
                    <w:rPr>
                      <w:color w:val="000000" w:themeColor="text1"/>
                    </w:rPr>
                  </w:pPr>
                </w:p>
              </w:tc>
              <w:tc>
                <w:tcPr>
                  <w:tcW w:w="969" w:type="dxa"/>
                </w:tcPr>
                <w:p w:rsidR="004A4AE3" w:rsidRDefault="004A4AE3" w:rsidP="009167BF">
                  <w:pPr>
                    <w:rPr>
                      <w:color w:val="000000" w:themeColor="text1"/>
                    </w:rPr>
                  </w:pPr>
                </w:p>
              </w:tc>
            </w:tr>
            <w:tr w:rsidR="004A4AE3">
              <w:tc>
                <w:tcPr>
                  <w:tcW w:w="1413" w:type="dxa"/>
                </w:tcPr>
                <w:p w:rsidR="004A4AE3" w:rsidRDefault="004A4AE3" w:rsidP="009167BF">
                  <w:pPr>
                    <w:rPr>
                      <w:color w:val="000000" w:themeColor="text1"/>
                    </w:rPr>
                  </w:pPr>
                  <w:r>
                    <w:rPr>
                      <w:color w:val="000000" w:themeColor="text1"/>
                    </w:rPr>
                    <w:t>Learners supported</w:t>
                  </w:r>
                </w:p>
              </w:tc>
              <w:tc>
                <w:tcPr>
                  <w:tcW w:w="968" w:type="dxa"/>
                </w:tcPr>
                <w:p w:rsidR="004A4AE3" w:rsidRDefault="004A4AE3" w:rsidP="009167BF">
                  <w:pPr>
                    <w:rPr>
                      <w:color w:val="000000" w:themeColor="text1"/>
                    </w:rPr>
                  </w:pPr>
                </w:p>
              </w:tc>
              <w:tc>
                <w:tcPr>
                  <w:tcW w:w="969" w:type="dxa"/>
                </w:tcPr>
                <w:p w:rsidR="004A4AE3" w:rsidRDefault="004A4AE3" w:rsidP="009167BF">
                  <w:pPr>
                    <w:rPr>
                      <w:color w:val="000000" w:themeColor="text1"/>
                    </w:rPr>
                  </w:pPr>
                </w:p>
              </w:tc>
              <w:tc>
                <w:tcPr>
                  <w:tcW w:w="968" w:type="dxa"/>
                </w:tcPr>
                <w:p w:rsidR="004A4AE3" w:rsidRDefault="004A4AE3" w:rsidP="009167BF">
                  <w:pPr>
                    <w:rPr>
                      <w:color w:val="000000" w:themeColor="text1"/>
                    </w:rPr>
                  </w:pPr>
                </w:p>
              </w:tc>
              <w:tc>
                <w:tcPr>
                  <w:tcW w:w="969" w:type="dxa"/>
                </w:tcPr>
                <w:p w:rsidR="004A4AE3" w:rsidRDefault="004A4AE3" w:rsidP="009167BF">
                  <w:pPr>
                    <w:rPr>
                      <w:color w:val="000000" w:themeColor="text1"/>
                    </w:rPr>
                  </w:pPr>
                </w:p>
              </w:tc>
              <w:tc>
                <w:tcPr>
                  <w:tcW w:w="968" w:type="dxa"/>
                </w:tcPr>
                <w:p w:rsidR="004A4AE3" w:rsidRDefault="004A4AE3" w:rsidP="009167BF">
                  <w:pPr>
                    <w:rPr>
                      <w:color w:val="000000" w:themeColor="text1"/>
                    </w:rPr>
                  </w:pPr>
                </w:p>
              </w:tc>
              <w:tc>
                <w:tcPr>
                  <w:tcW w:w="969" w:type="dxa"/>
                </w:tcPr>
                <w:p w:rsidR="004A4AE3" w:rsidRDefault="004A4AE3" w:rsidP="009167BF">
                  <w:pPr>
                    <w:rPr>
                      <w:color w:val="000000" w:themeColor="text1"/>
                    </w:rPr>
                  </w:pPr>
                </w:p>
              </w:tc>
            </w:tr>
          </w:tbl>
          <w:p w:rsidR="004A4AE3" w:rsidRPr="00F75CAF" w:rsidRDefault="00F75CAF" w:rsidP="00F75CAF">
            <w:pPr>
              <w:pStyle w:val="ListParagraph"/>
              <w:ind w:left="393"/>
              <w:rPr>
                <w:sz w:val="18"/>
                <w:szCs w:val="18"/>
              </w:rPr>
            </w:pPr>
            <w:r w:rsidRPr="00F75CAF">
              <w:rPr>
                <w:sz w:val="18"/>
                <w:szCs w:val="18"/>
              </w:rPr>
              <w:t>*relates to direct construction jobs associated with infrastructure delivery</w:t>
            </w:r>
          </w:p>
          <w:p w:rsidR="00F75CAF" w:rsidRPr="00F75CAF" w:rsidRDefault="00F75CAF" w:rsidP="00F75CAF">
            <w:pPr>
              <w:pStyle w:val="ListParagraph"/>
              <w:ind w:left="393"/>
              <w:rPr>
                <w:sz w:val="18"/>
                <w:szCs w:val="18"/>
              </w:rPr>
            </w:pPr>
            <w:r w:rsidRPr="00F75CAF">
              <w:rPr>
                <w:sz w:val="18"/>
                <w:szCs w:val="18"/>
              </w:rPr>
              <w:t>**does not include indirect construction jobs relating to delivery of commercial floorspace</w:t>
            </w:r>
          </w:p>
          <w:p w:rsidR="00E17CFD" w:rsidRDefault="00E17CFD" w:rsidP="004A4AE3"/>
          <w:p w:rsidR="00E17CFD" w:rsidRPr="00C503CD" w:rsidRDefault="00E17CFD" w:rsidP="004A4AE3"/>
        </w:tc>
      </w:tr>
      <w:tr w:rsidR="009E1EE0" w:rsidTr="00F75CAF">
        <w:tc>
          <w:tcPr>
            <w:tcW w:w="2629" w:type="dxa"/>
            <w:shd w:val="clear" w:color="auto" w:fill="4BACC6" w:themeFill="accent5"/>
          </w:tcPr>
          <w:p w:rsidR="009E1EE0" w:rsidRPr="00685C6D" w:rsidRDefault="009E1EE0" w:rsidP="001923FB">
            <w:pPr>
              <w:pStyle w:val="ListParagraph"/>
              <w:numPr>
                <w:ilvl w:val="1"/>
                <w:numId w:val="1"/>
              </w:numPr>
              <w:ind w:left="601" w:hanging="567"/>
              <w:rPr>
                <w:b/>
                <w:color w:val="FFFFFF" w:themeColor="background1"/>
              </w:rPr>
            </w:pPr>
            <w:r w:rsidRPr="00685C6D">
              <w:rPr>
                <w:b/>
                <w:color w:val="FFFFFF" w:themeColor="background1"/>
              </w:rPr>
              <w:lastRenderedPageBreak/>
              <w:t xml:space="preserve">How will outputs be monitored? </w:t>
            </w:r>
          </w:p>
        </w:tc>
        <w:tc>
          <w:tcPr>
            <w:tcW w:w="7719" w:type="dxa"/>
          </w:tcPr>
          <w:p w:rsidR="009E1EE0" w:rsidRDefault="009E1EE0" w:rsidP="00717D45">
            <w:pPr>
              <w:ind w:left="33"/>
            </w:pPr>
          </w:p>
          <w:p w:rsidR="00E17CFD" w:rsidRDefault="001B41B0" w:rsidP="00B0033F">
            <w:pPr>
              <w:ind w:left="33"/>
              <w:jc w:val="both"/>
            </w:pPr>
            <w:r>
              <w:t>As above, c</w:t>
            </w:r>
            <w:r w:rsidR="007A08DD">
              <w:t>apital expenditure will be monitored through the existing Capital Programme Monitoring Process and reported to the Council’s Cabinet. All economic outputs will be monitored by the ABP Partnership Board, comprising senior representatives from the Council and HBDL. Progress against key milestones will be reported back to the SELEP through the Project Team at regular intervals as required as part of a dedicated project monitoring process.</w:t>
            </w:r>
          </w:p>
          <w:p w:rsidR="001B41B0" w:rsidRDefault="001B41B0" w:rsidP="00B0033F">
            <w:pPr>
              <w:ind w:left="33"/>
              <w:jc w:val="both"/>
            </w:pPr>
          </w:p>
          <w:p w:rsidR="001B41B0" w:rsidRDefault="001B41B0" w:rsidP="00B0033F">
            <w:pPr>
              <w:ind w:left="33"/>
              <w:jc w:val="both"/>
            </w:pPr>
            <w:r>
              <w:t>Specific outputs to be monitored will include the following:</w:t>
            </w:r>
          </w:p>
          <w:p w:rsidR="001B41B0" w:rsidRDefault="001B41B0" w:rsidP="00B0033F">
            <w:pPr>
              <w:ind w:left="33"/>
              <w:jc w:val="both"/>
            </w:pPr>
          </w:p>
          <w:p w:rsidR="001B41B0" w:rsidRDefault="001B41B0" w:rsidP="001B41B0">
            <w:pPr>
              <w:pStyle w:val="ListParagraph"/>
              <w:numPr>
                <w:ilvl w:val="0"/>
                <w:numId w:val="26"/>
              </w:numPr>
              <w:jc w:val="both"/>
            </w:pPr>
            <w:r>
              <w:t>Construction jobs</w:t>
            </w:r>
          </w:p>
          <w:p w:rsidR="001B41B0" w:rsidRDefault="001B41B0" w:rsidP="001B41B0">
            <w:pPr>
              <w:pStyle w:val="ListParagraph"/>
              <w:numPr>
                <w:ilvl w:val="0"/>
                <w:numId w:val="26"/>
              </w:numPr>
              <w:jc w:val="both"/>
            </w:pPr>
            <w:r>
              <w:t>New commercial floorspace</w:t>
            </w:r>
          </w:p>
          <w:p w:rsidR="001B41B0" w:rsidRDefault="001B41B0" w:rsidP="001B41B0">
            <w:pPr>
              <w:pStyle w:val="ListParagraph"/>
              <w:numPr>
                <w:ilvl w:val="0"/>
                <w:numId w:val="26"/>
              </w:numPr>
              <w:jc w:val="both"/>
            </w:pPr>
            <w:r>
              <w:t>New jobs within the commercial floorspace</w:t>
            </w:r>
          </w:p>
          <w:p w:rsidR="008D70FC" w:rsidRDefault="008D70FC" w:rsidP="00717D45">
            <w:pPr>
              <w:ind w:left="33"/>
            </w:pPr>
          </w:p>
          <w:p w:rsidR="00E17CFD" w:rsidRPr="006408A0" w:rsidRDefault="00037A92" w:rsidP="00717D45">
            <w:pPr>
              <w:ind w:left="33"/>
            </w:pPr>
            <w:r>
              <w:t xml:space="preserve">These will be monitored through the Council’s existing and established monitoring systems which are fully backed up on servers. The Project Team will be responsible for the practical monitoring, reporting back to the Board at monthly intervals. </w:t>
            </w:r>
          </w:p>
        </w:tc>
      </w:tr>
      <w:tr w:rsidR="004A4AE3" w:rsidTr="00F75CAF">
        <w:trPr>
          <w:trHeight w:val="3058"/>
        </w:trPr>
        <w:tc>
          <w:tcPr>
            <w:tcW w:w="2629" w:type="dxa"/>
            <w:shd w:val="clear" w:color="auto" w:fill="4BACC6" w:themeFill="accent5"/>
          </w:tcPr>
          <w:p w:rsidR="004A4AE3" w:rsidRPr="00685C6D" w:rsidRDefault="004A4AE3" w:rsidP="001923FB">
            <w:pPr>
              <w:pStyle w:val="ListParagraph"/>
              <w:numPr>
                <w:ilvl w:val="1"/>
                <w:numId w:val="1"/>
              </w:numPr>
              <w:ind w:left="601" w:hanging="567"/>
              <w:rPr>
                <w:b/>
                <w:color w:val="FFFFFF" w:themeColor="background1"/>
              </w:rPr>
            </w:pPr>
            <w:r>
              <w:rPr>
                <w:b/>
                <w:color w:val="FFFFFF" w:themeColor="background1"/>
              </w:rPr>
              <w:t>Milestones</w:t>
            </w:r>
          </w:p>
        </w:tc>
        <w:tc>
          <w:tcPr>
            <w:tcW w:w="7719" w:type="dxa"/>
          </w:tcPr>
          <w:p w:rsidR="004A4AE3" w:rsidRDefault="004A4AE3" w:rsidP="004A4AE3">
            <w:pPr>
              <w:rPr>
                <w:i/>
              </w:rPr>
            </w:pPr>
            <w:r w:rsidRPr="00675461">
              <w:rPr>
                <w:i/>
              </w:rPr>
              <w:t>Please identify the key milestones and projects stages relating to the delivery of this project in the table below</w:t>
            </w:r>
            <w:r>
              <w:rPr>
                <w:i/>
              </w:rPr>
              <w:t>.</w:t>
            </w:r>
            <w:r w:rsidRPr="00675461">
              <w:rPr>
                <w:i/>
              </w:rPr>
              <w:t xml:space="preserve"> Please ensure a Gantt chart has been attached to this application form, clearly identifying the milestones for the project, the key construction stages, the critical path and all interdependencies</w:t>
            </w:r>
            <w:r>
              <w:rPr>
                <w:i/>
              </w:rPr>
              <w:t>.</w:t>
            </w:r>
          </w:p>
          <w:p w:rsidR="00C36C9E" w:rsidRDefault="00C36C9E" w:rsidP="004A4AE3">
            <w:pPr>
              <w:rPr>
                <w:i/>
              </w:rPr>
            </w:pPr>
          </w:p>
          <w:p w:rsidR="00C36C9E" w:rsidRDefault="00BE7254" w:rsidP="007A08DD">
            <w:pPr>
              <w:jc w:val="both"/>
            </w:pPr>
            <w:r>
              <w:t>A project Gannt chart</w:t>
            </w:r>
            <w:r w:rsidR="007A08DD">
              <w:t>/work programme</w:t>
            </w:r>
            <w:r>
              <w:t xml:space="preserve"> is </w:t>
            </w:r>
            <w:r w:rsidR="00BB628C">
              <w:t xml:space="preserve">appended to this business case for the phase 1 infrastructure scheme. </w:t>
            </w:r>
          </w:p>
          <w:p w:rsidR="00BB628C" w:rsidRDefault="00BB628C" w:rsidP="004A4AE3"/>
          <w:p w:rsidR="00BB628C" w:rsidRPr="00C36C9E" w:rsidRDefault="00BB628C" w:rsidP="004A4AE3">
            <w:r>
              <w:t>Key milestones are presented below:</w:t>
            </w:r>
          </w:p>
          <w:p w:rsidR="004A4AE3" w:rsidRDefault="004A4AE3" w:rsidP="00717D45">
            <w:pPr>
              <w:ind w:left="33"/>
            </w:pPr>
          </w:p>
          <w:tbl>
            <w:tblPr>
              <w:tblStyle w:val="TableGrid"/>
              <w:tblW w:w="0" w:type="auto"/>
              <w:tblInd w:w="175" w:type="dxa"/>
              <w:tblLook w:val="04A0"/>
            </w:tblPr>
            <w:tblGrid>
              <w:gridCol w:w="2830"/>
              <w:gridCol w:w="2268"/>
              <w:gridCol w:w="2126"/>
            </w:tblGrid>
            <w:tr w:rsidR="004A4AE3">
              <w:tc>
                <w:tcPr>
                  <w:tcW w:w="2830" w:type="dxa"/>
                </w:tcPr>
                <w:p w:rsidR="004A4AE3" w:rsidRPr="00C96AA1" w:rsidRDefault="004A4AE3" w:rsidP="009167BF">
                  <w:pPr>
                    <w:rPr>
                      <w:b/>
                      <w:color w:val="000000" w:themeColor="text1"/>
                    </w:rPr>
                  </w:pPr>
                  <w:r>
                    <w:rPr>
                      <w:b/>
                      <w:color w:val="000000" w:themeColor="text1"/>
                    </w:rPr>
                    <w:t>Project milestone</w:t>
                  </w:r>
                </w:p>
              </w:tc>
              <w:tc>
                <w:tcPr>
                  <w:tcW w:w="2268" w:type="dxa"/>
                </w:tcPr>
                <w:p w:rsidR="004A4AE3" w:rsidRPr="00C96AA1" w:rsidRDefault="004A4AE3" w:rsidP="009167BF">
                  <w:pPr>
                    <w:rPr>
                      <w:b/>
                      <w:color w:val="000000" w:themeColor="text1"/>
                    </w:rPr>
                  </w:pPr>
                  <w:r>
                    <w:rPr>
                      <w:b/>
                      <w:color w:val="000000" w:themeColor="text1"/>
                    </w:rPr>
                    <w:t>Description</w:t>
                  </w:r>
                </w:p>
              </w:tc>
              <w:tc>
                <w:tcPr>
                  <w:tcW w:w="2126" w:type="dxa"/>
                </w:tcPr>
                <w:p w:rsidR="004A4AE3" w:rsidRPr="00C96AA1" w:rsidRDefault="004A4AE3" w:rsidP="009167BF">
                  <w:pPr>
                    <w:rPr>
                      <w:b/>
                      <w:color w:val="000000" w:themeColor="text1"/>
                    </w:rPr>
                  </w:pPr>
                  <w:r>
                    <w:rPr>
                      <w:b/>
                      <w:color w:val="000000" w:themeColor="text1"/>
                    </w:rPr>
                    <w:t>Indicative date</w:t>
                  </w:r>
                </w:p>
              </w:tc>
            </w:tr>
            <w:tr w:rsidR="00BB628C">
              <w:tc>
                <w:tcPr>
                  <w:tcW w:w="2830" w:type="dxa"/>
                </w:tcPr>
                <w:p w:rsidR="00BB628C" w:rsidRDefault="00BB628C" w:rsidP="009167BF">
                  <w:pPr>
                    <w:rPr>
                      <w:color w:val="000000" w:themeColor="text1"/>
                    </w:rPr>
                  </w:pPr>
                  <w:r>
                    <w:rPr>
                      <w:color w:val="000000" w:themeColor="text1"/>
                    </w:rPr>
                    <w:t>Planning consents approved</w:t>
                  </w:r>
                </w:p>
              </w:tc>
              <w:tc>
                <w:tcPr>
                  <w:tcW w:w="2268" w:type="dxa"/>
                </w:tcPr>
                <w:p w:rsidR="00BB628C" w:rsidRDefault="00BB628C" w:rsidP="009167BF">
                  <w:pPr>
                    <w:rPr>
                      <w:color w:val="000000" w:themeColor="text1"/>
                    </w:rPr>
                  </w:pPr>
                </w:p>
              </w:tc>
              <w:tc>
                <w:tcPr>
                  <w:tcW w:w="2126" w:type="dxa"/>
                </w:tcPr>
                <w:p w:rsidR="00BB628C" w:rsidRDefault="00BB628C" w:rsidP="009167BF">
                  <w:pPr>
                    <w:rPr>
                      <w:color w:val="000000" w:themeColor="text1"/>
                    </w:rPr>
                  </w:pPr>
                  <w:r>
                    <w:rPr>
                      <w:color w:val="000000" w:themeColor="text1"/>
                    </w:rPr>
                    <w:t>February 2016</w:t>
                  </w:r>
                </w:p>
              </w:tc>
            </w:tr>
            <w:tr w:rsidR="00BB628C">
              <w:tc>
                <w:tcPr>
                  <w:tcW w:w="2830" w:type="dxa"/>
                </w:tcPr>
                <w:p w:rsidR="00BB628C" w:rsidRDefault="00BB628C" w:rsidP="009167BF">
                  <w:pPr>
                    <w:rPr>
                      <w:color w:val="000000" w:themeColor="text1"/>
                    </w:rPr>
                  </w:pPr>
                  <w:r>
                    <w:rPr>
                      <w:color w:val="000000" w:themeColor="text1"/>
                    </w:rPr>
                    <w:t>Detailed design</w:t>
                  </w:r>
                  <w:r w:rsidR="00F42166">
                    <w:rPr>
                      <w:color w:val="000000" w:themeColor="text1"/>
                    </w:rPr>
                    <w:t xml:space="preserve"> - infrastructure</w:t>
                  </w:r>
                </w:p>
              </w:tc>
              <w:tc>
                <w:tcPr>
                  <w:tcW w:w="2268" w:type="dxa"/>
                </w:tcPr>
                <w:p w:rsidR="00BB628C" w:rsidRDefault="00BB628C" w:rsidP="009167BF">
                  <w:pPr>
                    <w:rPr>
                      <w:color w:val="000000" w:themeColor="text1"/>
                    </w:rPr>
                  </w:pPr>
                </w:p>
              </w:tc>
              <w:tc>
                <w:tcPr>
                  <w:tcW w:w="2126" w:type="dxa"/>
                </w:tcPr>
                <w:p w:rsidR="00BB628C" w:rsidRDefault="00BB628C" w:rsidP="00F42166">
                  <w:pPr>
                    <w:rPr>
                      <w:color w:val="000000" w:themeColor="text1"/>
                    </w:rPr>
                  </w:pPr>
                  <w:r>
                    <w:rPr>
                      <w:color w:val="000000" w:themeColor="text1"/>
                    </w:rPr>
                    <w:t>Jan-</w:t>
                  </w:r>
                  <w:r w:rsidR="00F42166">
                    <w:rPr>
                      <w:color w:val="000000" w:themeColor="text1"/>
                    </w:rPr>
                    <w:t xml:space="preserve">March </w:t>
                  </w:r>
                  <w:r>
                    <w:rPr>
                      <w:color w:val="000000" w:themeColor="text1"/>
                    </w:rPr>
                    <w:t>2016</w:t>
                  </w:r>
                </w:p>
              </w:tc>
            </w:tr>
            <w:tr w:rsidR="00F42166">
              <w:tc>
                <w:tcPr>
                  <w:tcW w:w="2830" w:type="dxa"/>
                </w:tcPr>
                <w:p w:rsidR="00F42166" w:rsidRDefault="00F42166" w:rsidP="009167BF">
                  <w:pPr>
                    <w:rPr>
                      <w:color w:val="000000" w:themeColor="text1"/>
                    </w:rPr>
                  </w:pPr>
                  <w:r>
                    <w:rPr>
                      <w:color w:val="000000" w:themeColor="text1"/>
                    </w:rPr>
                    <w:t>Detailed design - pitches</w:t>
                  </w:r>
                </w:p>
              </w:tc>
              <w:tc>
                <w:tcPr>
                  <w:tcW w:w="2268" w:type="dxa"/>
                </w:tcPr>
                <w:p w:rsidR="00F42166" w:rsidRDefault="00F42166" w:rsidP="009167BF">
                  <w:pPr>
                    <w:rPr>
                      <w:color w:val="000000" w:themeColor="text1"/>
                    </w:rPr>
                  </w:pPr>
                </w:p>
              </w:tc>
              <w:tc>
                <w:tcPr>
                  <w:tcW w:w="2126" w:type="dxa"/>
                </w:tcPr>
                <w:p w:rsidR="00F42166" w:rsidRDefault="00F42166" w:rsidP="009167BF">
                  <w:pPr>
                    <w:rPr>
                      <w:color w:val="000000" w:themeColor="text1"/>
                    </w:rPr>
                  </w:pPr>
                  <w:r>
                    <w:rPr>
                      <w:color w:val="000000" w:themeColor="text1"/>
                    </w:rPr>
                    <w:t>Jan-Feb 2016</w:t>
                  </w:r>
                </w:p>
              </w:tc>
            </w:tr>
            <w:tr w:rsidR="00F42166">
              <w:tc>
                <w:tcPr>
                  <w:tcW w:w="2830" w:type="dxa"/>
                </w:tcPr>
                <w:p w:rsidR="00F42166" w:rsidRDefault="00F42166" w:rsidP="009167BF">
                  <w:pPr>
                    <w:rPr>
                      <w:color w:val="000000" w:themeColor="text1"/>
                    </w:rPr>
                  </w:pPr>
                  <w:r>
                    <w:rPr>
                      <w:color w:val="000000" w:themeColor="text1"/>
                    </w:rPr>
                    <w:t>Detailed design – rugby club</w:t>
                  </w:r>
                </w:p>
              </w:tc>
              <w:tc>
                <w:tcPr>
                  <w:tcW w:w="2268" w:type="dxa"/>
                </w:tcPr>
                <w:p w:rsidR="00F42166" w:rsidRDefault="00F42166" w:rsidP="009167BF">
                  <w:pPr>
                    <w:rPr>
                      <w:color w:val="000000" w:themeColor="text1"/>
                    </w:rPr>
                  </w:pPr>
                </w:p>
              </w:tc>
              <w:tc>
                <w:tcPr>
                  <w:tcW w:w="2126" w:type="dxa"/>
                </w:tcPr>
                <w:p w:rsidR="00F42166" w:rsidRDefault="00F42166" w:rsidP="009167BF">
                  <w:pPr>
                    <w:rPr>
                      <w:color w:val="000000" w:themeColor="text1"/>
                    </w:rPr>
                  </w:pPr>
                  <w:r>
                    <w:rPr>
                      <w:color w:val="000000" w:themeColor="text1"/>
                    </w:rPr>
                    <w:t>Feb-July 2016</w:t>
                  </w:r>
                </w:p>
              </w:tc>
            </w:tr>
            <w:tr w:rsidR="0056544A">
              <w:tc>
                <w:tcPr>
                  <w:tcW w:w="2830" w:type="dxa"/>
                </w:tcPr>
                <w:p w:rsidR="0056544A" w:rsidRDefault="0056544A" w:rsidP="0056544A">
                  <w:pPr>
                    <w:rPr>
                      <w:color w:val="000000" w:themeColor="text1"/>
                    </w:rPr>
                  </w:pPr>
                  <w:r>
                    <w:rPr>
                      <w:color w:val="000000" w:themeColor="text1"/>
                    </w:rPr>
                    <w:t>LGF funding drawdown commence</w:t>
                  </w:r>
                </w:p>
              </w:tc>
              <w:tc>
                <w:tcPr>
                  <w:tcW w:w="2268" w:type="dxa"/>
                </w:tcPr>
                <w:p w:rsidR="0056544A" w:rsidRDefault="0056544A" w:rsidP="0056544A">
                  <w:pPr>
                    <w:rPr>
                      <w:color w:val="000000" w:themeColor="text1"/>
                    </w:rPr>
                  </w:pPr>
                </w:p>
              </w:tc>
              <w:tc>
                <w:tcPr>
                  <w:tcW w:w="2126" w:type="dxa"/>
                </w:tcPr>
                <w:p w:rsidR="0056544A" w:rsidRDefault="0056544A" w:rsidP="0056544A">
                  <w:pPr>
                    <w:rPr>
                      <w:color w:val="000000" w:themeColor="text1"/>
                    </w:rPr>
                  </w:pPr>
                  <w:r>
                    <w:rPr>
                      <w:color w:val="000000" w:themeColor="text1"/>
                    </w:rPr>
                    <w:t>April 2016</w:t>
                  </w:r>
                </w:p>
              </w:tc>
            </w:tr>
            <w:tr w:rsidR="0056544A">
              <w:tc>
                <w:tcPr>
                  <w:tcW w:w="2830" w:type="dxa"/>
                </w:tcPr>
                <w:p w:rsidR="0056544A" w:rsidRDefault="0056544A" w:rsidP="0056544A">
                  <w:pPr>
                    <w:rPr>
                      <w:color w:val="000000" w:themeColor="text1"/>
                    </w:rPr>
                  </w:pPr>
                  <w:r>
                    <w:rPr>
                      <w:color w:val="000000" w:themeColor="text1"/>
                    </w:rPr>
                    <w:t>Council funding released</w:t>
                  </w:r>
                </w:p>
              </w:tc>
              <w:tc>
                <w:tcPr>
                  <w:tcW w:w="2268" w:type="dxa"/>
                </w:tcPr>
                <w:p w:rsidR="0056544A" w:rsidRDefault="0056544A" w:rsidP="0056544A">
                  <w:pPr>
                    <w:rPr>
                      <w:color w:val="000000" w:themeColor="text1"/>
                    </w:rPr>
                  </w:pPr>
                </w:p>
              </w:tc>
              <w:tc>
                <w:tcPr>
                  <w:tcW w:w="2126" w:type="dxa"/>
                </w:tcPr>
                <w:p w:rsidR="0056544A" w:rsidRDefault="0056544A" w:rsidP="0056544A">
                  <w:pPr>
                    <w:rPr>
                      <w:color w:val="000000" w:themeColor="text1"/>
                    </w:rPr>
                  </w:pPr>
                  <w:r>
                    <w:rPr>
                      <w:color w:val="000000" w:themeColor="text1"/>
                    </w:rPr>
                    <w:t>April 2016</w:t>
                  </w:r>
                </w:p>
              </w:tc>
            </w:tr>
            <w:tr w:rsidR="0056544A">
              <w:tc>
                <w:tcPr>
                  <w:tcW w:w="2830" w:type="dxa"/>
                </w:tcPr>
                <w:p w:rsidR="0056544A" w:rsidRDefault="0056544A" w:rsidP="0056544A">
                  <w:pPr>
                    <w:rPr>
                      <w:color w:val="000000" w:themeColor="text1"/>
                    </w:rPr>
                  </w:pPr>
                  <w:r>
                    <w:rPr>
                      <w:color w:val="000000" w:themeColor="text1"/>
                    </w:rPr>
                    <w:lastRenderedPageBreak/>
                    <w:t>Detailed planning for rugby club</w:t>
                  </w:r>
                </w:p>
              </w:tc>
              <w:tc>
                <w:tcPr>
                  <w:tcW w:w="2268" w:type="dxa"/>
                </w:tcPr>
                <w:p w:rsidR="0056544A" w:rsidRDefault="0056544A" w:rsidP="0056544A">
                  <w:pPr>
                    <w:rPr>
                      <w:color w:val="000000" w:themeColor="text1"/>
                    </w:rPr>
                  </w:pPr>
                </w:p>
              </w:tc>
              <w:tc>
                <w:tcPr>
                  <w:tcW w:w="2126" w:type="dxa"/>
                </w:tcPr>
                <w:p w:rsidR="0056544A" w:rsidRDefault="0056544A" w:rsidP="0056544A">
                  <w:pPr>
                    <w:rPr>
                      <w:color w:val="000000" w:themeColor="text1"/>
                    </w:rPr>
                  </w:pPr>
                  <w:r>
                    <w:rPr>
                      <w:color w:val="000000" w:themeColor="text1"/>
                    </w:rPr>
                    <w:t>Mar-Aug 2016</w:t>
                  </w:r>
                </w:p>
              </w:tc>
            </w:tr>
            <w:tr w:rsidR="0056544A">
              <w:tc>
                <w:tcPr>
                  <w:tcW w:w="2830" w:type="dxa"/>
                </w:tcPr>
                <w:p w:rsidR="0056544A" w:rsidRDefault="0056544A" w:rsidP="0056544A">
                  <w:pPr>
                    <w:rPr>
                      <w:color w:val="000000" w:themeColor="text1"/>
                    </w:rPr>
                  </w:pPr>
                  <w:r>
                    <w:rPr>
                      <w:color w:val="000000" w:themeColor="text1"/>
                    </w:rPr>
                    <w:t>Procurement of contractor for sports pitches</w:t>
                  </w:r>
                </w:p>
              </w:tc>
              <w:tc>
                <w:tcPr>
                  <w:tcW w:w="2268" w:type="dxa"/>
                </w:tcPr>
                <w:p w:rsidR="0056544A" w:rsidRDefault="0056544A" w:rsidP="0056544A">
                  <w:pPr>
                    <w:rPr>
                      <w:color w:val="000000" w:themeColor="text1"/>
                    </w:rPr>
                  </w:pPr>
                </w:p>
              </w:tc>
              <w:tc>
                <w:tcPr>
                  <w:tcW w:w="2126" w:type="dxa"/>
                </w:tcPr>
                <w:p w:rsidR="0056544A" w:rsidRDefault="0056544A" w:rsidP="0056544A">
                  <w:pPr>
                    <w:rPr>
                      <w:color w:val="000000" w:themeColor="text1"/>
                    </w:rPr>
                  </w:pPr>
                  <w:r>
                    <w:rPr>
                      <w:color w:val="000000" w:themeColor="text1"/>
                    </w:rPr>
                    <w:t>Feb-April 2016</w:t>
                  </w:r>
                </w:p>
              </w:tc>
            </w:tr>
            <w:tr w:rsidR="0056544A">
              <w:tc>
                <w:tcPr>
                  <w:tcW w:w="2830" w:type="dxa"/>
                </w:tcPr>
                <w:p w:rsidR="0056544A" w:rsidRDefault="0056544A" w:rsidP="0056544A">
                  <w:pPr>
                    <w:rPr>
                      <w:color w:val="000000" w:themeColor="text1"/>
                    </w:rPr>
                  </w:pPr>
                  <w:r>
                    <w:rPr>
                      <w:color w:val="000000" w:themeColor="text1"/>
                    </w:rPr>
                    <w:t>Procurement of contractor for infrastructure works</w:t>
                  </w:r>
                </w:p>
              </w:tc>
              <w:tc>
                <w:tcPr>
                  <w:tcW w:w="2268" w:type="dxa"/>
                </w:tcPr>
                <w:p w:rsidR="0056544A" w:rsidRDefault="0056544A" w:rsidP="0056544A">
                  <w:pPr>
                    <w:rPr>
                      <w:color w:val="000000" w:themeColor="text1"/>
                    </w:rPr>
                  </w:pPr>
                </w:p>
              </w:tc>
              <w:tc>
                <w:tcPr>
                  <w:tcW w:w="2126" w:type="dxa"/>
                </w:tcPr>
                <w:p w:rsidR="0056544A" w:rsidRDefault="0056544A" w:rsidP="0056544A">
                  <w:pPr>
                    <w:rPr>
                      <w:color w:val="000000" w:themeColor="text1"/>
                    </w:rPr>
                  </w:pPr>
                  <w:r>
                    <w:rPr>
                      <w:color w:val="000000" w:themeColor="text1"/>
                    </w:rPr>
                    <w:t>Mar-June 2016</w:t>
                  </w:r>
                </w:p>
              </w:tc>
            </w:tr>
            <w:tr w:rsidR="0056544A">
              <w:tc>
                <w:tcPr>
                  <w:tcW w:w="2830" w:type="dxa"/>
                </w:tcPr>
                <w:p w:rsidR="0056544A" w:rsidRDefault="0056544A" w:rsidP="0056544A">
                  <w:pPr>
                    <w:rPr>
                      <w:color w:val="000000" w:themeColor="text1"/>
                    </w:rPr>
                  </w:pPr>
                  <w:r>
                    <w:rPr>
                      <w:color w:val="000000" w:themeColor="text1"/>
                    </w:rPr>
                    <w:t>Procurement of contractor for rugby club</w:t>
                  </w:r>
                </w:p>
              </w:tc>
              <w:tc>
                <w:tcPr>
                  <w:tcW w:w="2268" w:type="dxa"/>
                </w:tcPr>
                <w:p w:rsidR="0056544A" w:rsidRDefault="0056544A" w:rsidP="0056544A">
                  <w:pPr>
                    <w:rPr>
                      <w:color w:val="000000" w:themeColor="text1"/>
                    </w:rPr>
                  </w:pPr>
                </w:p>
              </w:tc>
              <w:tc>
                <w:tcPr>
                  <w:tcW w:w="2126" w:type="dxa"/>
                </w:tcPr>
                <w:p w:rsidR="0056544A" w:rsidRDefault="0056544A" w:rsidP="0056544A">
                  <w:pPr>
                    <w:rPr>
                      <w:color w:val="000000" w:themeColor="text1"/>
                    </w:rPr>
                  </w:pPr>
                  <w:r>
                    <w:rPr>
                      <w:color w:val="000000" w:themeColor="text1"/>
                    </w:rPr>
                    <w:t>July-Sept 2016</w:t>
                  </w:r>
                </w:p>
              </w:tc>
            </w:tr>
            <w:tr w:rsidR="0056544A">
              <w:tc>
                <w:tcPr>
                  <w:tcW w:w="2830" w:type="dxa"/>
                </w:tcPr>
                <w:p w:rsidR="0056544A" w:rsidRDefault="0056544A" w:rsidP="0056544A">
                  <w:pPr>
                    <w:rPr>
                      <w:color w:val="000000" w:themeColor="text1"/>
                    </w:rPr>
                  </w:pPr>
                  <w:r>
                    <w:rPr>
                      <w:color w:val="000000" w:themeColor="text1"/>
                    </w:rPr>
                    <w:t>Construction – phase 1 infrastructure</w:t>
                  </w:r>
                </w:p>
              </w:tc>
              <w:tc>
                <w:tcPr>
                  <w:tcW w:w="2268" w:type="dxa"/>
                </w:tcPr>
                <w:p w:rsidR="0056544A" w:rsidRDefault="0056544A" w:rsidP="0056544A">
                  <w:pPr>
                    <w:rPr>
                      <w:color w:val="000000" w:themeColor="text1"/>
                    </w:rPr>
                  </w:pPr>
                </w:p>
              </w:tc>
              <w:tc>
                <w:tcPr>
                  <w:tcW w:w="2126" w:type="dxa"/>
                </w:tcPr>
                <w:p w:rsidR="0056544A" w:rsidRDefault="0056544A" w:rsidP="0056544A">
                  <w:pPr>
                    <w:rPr>
                      <w:color w:val="000000" w:themeColor="text1"/>
                    </w:rPr>
                  </w:pPr>
                  <w:r>
                    <w:rPr>
                      <w:color w:val="000000" w:themeColor="text1"/>
                    </w:rPr>
                    <w:t>July 2016 – Dec 2016</w:t>
                  </w:r>
                </w:p>
              </w:tc>
            </w:tr>
            <w:tr w:rsidR="00F42166">
              <w:tc>
                <w:tcPr>
                  <w:tcW w:w="2830" w:type="dxa"/>
                </w:tcPr>
                <w:p w:rsidR="00F42166" w:rsidRDefault="00F42166" w:rsidP="00F42166">
                  <w:pPr>
                    <w:rPr>
                      <w:color w:val="000000" w:themeColor="text1"/>
                    </w:rPr>
                  </w:pPr>
                  <w:r>
                    <w:rPr>
                      <w:color w:val="000000" w:themeColor="text1"/>
                    </w:rPr>
                    <w:t>Construction – sports pitches</w:t>
                  </w:r>
                </w:p>
              </w:tc>
              <w:tc>
                <w:tcPr>
                  <w:tcW w:w="2268" w:type="dxa"/>
                </w:tcPr>
                <w:p w:rsidR="00F42166" w:rsidRDefault="00F42166" w:rsidP="00F42166">
                  <w:pPr>
                    <w:rPr>
                      <w:color w:val="000000" w:themeColor="text1"/>
                    </w:rPr>
                  </w:pPr>
                </w:p>
              </w:tc>
              <w:tc>
                <w:tcPr>
                  <w:tcW w:w="2126" w:type="dxa"/>
                </w:tcPr>
                <w:p w:rsidR="00F42166" w:rsidRDefault="00F42166" w:rsidP="00F42166">
                  <w:pPr>
                    <w:rPr>
                      <w:color w:val="000000" w:themeColor="text1"/>
                    </w:rPr>
                  </w:pPr>
                  <w:r>
                    <w:rPr>
                      <w:color w:val="000000" w:themeColor="text1"/>
                    </w:rPr>
                    <w:t>May – Aug 2016</w:t>
                  </w:r>
                </w:p>
              </w:tc>
            </w:tr>
            <w:tr w:rsidR="00F42166">
              <w:tc>
                <w:tcPr>
                  <w:tcW w:w="2830" w:type="dxa"/>
                </w:tcPr>
                <w:p w:rsidR="00F42166" w:rsidRDefault="00F42166" w:rsidP="00F42166">
                  <w:pPr>
                    <w:rPr>
                      <w:color w:val="000000" w:themeColor="text1"/>
                    </w:rPr>
                  </w:pPr>
                  <w:r>
                    <w:rPr>
                      <w:color w:val="000000" w:themeColor="text1"/>
                    </w:rPr>
                    <w:t>Construction – rugby club</w:t>
                  </w:r>
                </w:p>
              </w:tc>
              <w:tc>
                <w:tcPr>
                  <w:tcW w:w="2268" w:type="dxa"/>
                </w:tcPr>
                <w:p w:rsidR="00F42166" w:rsidRDefault="00F42166" w:rsidP="00F42166">
                  <w:pPr>
                    <w:rPr>
                      <w:color w:val="000000" w:themeColor="text1"/>
                    </w:rPr>
                  </w:pPr>
                </w:p>
              </w:tc>
              <w:tc>
                <w:tcPr>
                  <w:tcW w:w="2126" w:type="dxa"/>
                </w:tcPr>
                <w:p w:rsidR="00F42166" w:rsidRDefault="00F42166" w:rsidP="00F42166">
                  <w:pPr>
                    <w:rPr>
                      <w:color w:val="000000" w:themeColor="text1"/>
                    </w:rPr>
                  </w:pPr>
                  <w:r>
                    <w:rPr>
                      <w:color w:val="000000" w:themeColor="text1"/>
                    </w:rPr>
                    <w:t>Oct 2016 – June 2017</w:t>
                  </w:r>
                </w:p>
              </w:tc>
            </w:tr>
          </w:tbl>
          <w:p w:rsidR="008D70FC" w:rsidRPr="006408A0" w:rsidRDefault="008D70FC" w:rsidP="004A4AE3"/>
        </w:tc>
      </w:tr>
      <w:tr w:rsidR="009E1EE0" w:rsidTr="00F75CAF">
        <w:tc>
          <w:tcPr>
            <w:tcW w:w="2629" w:type="dxa"/>
            <w:shd w:val="clear" w:color="auto" w:fill="4BACC6" w:themeFill="accent5"/>
          </w:tcPr>
          <w:p w:rsidR="009E1EE0" w:rsidRPr="00685C6D" w:rsidRDefault="009E1EE0" w:rsidP="001923FB">
            <w:pPr>
              <w:pStyle w:val="ListParagraph"/>
              <w:numPr>
                <w:ilvl w:val="1"/>
                <w:numId w:val="1"/>
              </w:numPr>
              <w:ind w:left="601" w:hanging="567"/>
              <w:rPr>
                <w:b/>
                <w:color w:val="FFFFFF" w:themeColor="background1"/>
              </w:rPr>
            </w:pPr>
            <w:r w:rsidRPr="00685C6D">
              <w:rPr>
                <w:b/>
                <w:color w:val="FFFFFF" w:themeColor="background1"/>
              </w:rPr>
              <w:lastRenderedPageBreak/>
              <w:t xml:space="preserve">How will the project be evaluated? </w:t>
            </w:r>
          </w:p>
        </w:tc>
        <w:tc>
          <w:tcPr>
            <w:tcW w:w="7719" w:type="dxa"/>
          </w:tcPr>
          <w:p w:rsidR="00C36C9E" w:rsidRDefault="00C36C9E" w:rsidP="0056544A"/>
          <w:p w:rsidR="0056544A" w:rsidRDefault="0056544A" w:rsidP="00AC4467">
            <w:pPr>
              <w:jc w:val="both"/>
            </w:pPr>
            <w:r>
              <w:t xml:space="preserve">In addition to the </w:t>
            </w:r>
            <w:r w:rsidR="001A7E6D">
              <w:t xml:space="preserve">ongoing monitoring of outputs, the Council will commit to undertaking a formal final evaluation of the project upon completion in 2021, once all indirect outputs have been delivered. This will be funded by the Council and it will assess the performance of the scheme against its objectives. </w:t>
            </w:r>
          </w:p>
          <w:p w:rsidR="00EE034D" w:rsidRDefault="00EE034D" w:rsidP="00C36C9E"/>
          <w:p w:rsidR="00EE034D" w:rsidRPr="006408A0" w:rsidRDefault="00EE034D" w:rsidP="00717D45">
            <w:pPr>
              <w:ind w:left="33"/>
            </w:pPr>
          </w:p>
        </w:tc>
      </w:tr>
      <w:tr w:rsidR="004A4AE3" w:rsidTr="00F75CAF">
        <w:tc>
          <w:tcPr>
            <w:tcW w:w="2629" w:type="dxa"/>
            <w:shd w:val="clear" w:color="auto" w:fill="4BACC6" w:themeFill="accent5"/>
          </w:tcPr>
          <w:p w:rsidR="004A4AE3" w:rsidRPr="00685C6D" w:rsidRDefault="004A4AE3" w:rsidP="001923FB">
            <w:pPr>
              <w:pStyle w:val="ListParagraph"/>
              <w:numPr>
                <w:ilvl w:val="1"/>
                <w:numId w:val="1"/>
              </w:numPr>
              <w:ind w:left="601" w:hanging="567"/>
              <w:rPr>
                <w:b/>
                <w:color w:val="FFFFFF" w:themeColor="background1"/>
              </w:rPr>
            </w:pPr>
            <w:r>
              <w:rPr>
                <w:b/>
                <w:color w:val="FFFFFF" w:themeColor="background1"/>
              </w:rPr>
              <w:t>Stakeholder management</w:t>
            </w:r>
            <w:r w:rsidR="006F1364">
              <w:rPr>
                <w:b/>
                <w:color w:val="FFFFFF" w:themeColor="background1"/>
              </w:rPr>
              <w:t xml:space="preserve"> &amp; governance</w:t>
            </w:r>
          </w:p>
        </w:tc>
        <w:tc>
          <w:tcPr>
            <w:tcW w:w="7719" w:type="dxa"/>
          </w:tcPr>
          <w:p w:rsidR="004A4AE3" w:rsidRDefault="004A4AE3" w:rsidP="00717D45">
            <w:pPr>
              <w:ind w:left="33"/>
              <w:rPr>
                <w:i/>
              </w:rPr>
            </w:pPr>
            <w:r w:rsidRPr="0037270B">
              <w:rPr>
                <w:i/>
              </w:rPr>
              <w:t>Please provide a summary of the stakeholder management plan for the scheme.</w:t>
            </w:r>
            <w:r w:rsidR="006F1364">
              <w:rPr>
                <w:i/>
              </w:rPr>
              <w:t xml:space="preserve"> Include any governance arrangements which will materially impact on the delivery of the scheme.</w:t>
            </w:r>
          </w:p>
          <w:p w:rsidR="006F1364" w:rsidRDefault="006F1364" w:rsidP="00717D45">
            <w:pPr>
              <w:ind w:left="33"/>
            </w:pPr>
          </w:p>
          <w:p w:rsidR="00EE0C93" w:rsidRPr="00EE0C93" w:rsidRDefault="00EE0C93" w:rsidP="00EE0C93">
            <w:pPr>
              <w:tabs>
                <w:tab w:val="left" w:pos="1418"/>
              </w:tabs>
              <w:spacing w:before="120"/>
              <w:contextualSpacing/>
              <w:rPr>
                <w:rFonts w:eastAsia="Times New Roman" w:cs="Arial"/>
                <w:i/>
                <w:szCs w:val="24"/>
                <w:lang w:eastAsia="en-US"/>
              </w:rPr>
            </w:pPr>
            <w:r w:rsidRPr="00EE0C93">
              <w:rPr>
                <w:rFonts w:eastAsia="Times New Roman" w:cs="Arial"/>
                <w:i/>
                <w:szCs w:val="24"/>
                <w:lang w:eastAsia="en-US"/>
              </w:rPr>
              <w:t xml:space="preserve">Provide brief description of how key statutory stakeholders will be managed and engaged, in line with Communication and Stakeholder Management Strategy.  </w:t>
            </w:r>
          </w:p>
          <w:p w:rsidR="00EE0C93" w:rsidRPr="00EE0C93" w:rsidRDefault="00EE0C93" w:rsidP="00EE0C93">
            <w:pPr>
              <w:tabs>
                <w:tab w:val="left" w:pos="1418"/>
              </w:tabs>
              <w:spacing w:before="120"/>
              <w:ind w:left="1418"/>
              <w:contextualSpacing/>
              <w:rPr>
                <w:rFonts w:eastAsia="Times New Roman" w:cs="Arial"/>
                <w:i/>
                <w:szCs w:val="24"/>
                <w:lang w:eastAsia="en-US"/>
              </w:rPr>
            </w:pPr>
          </w:p>
          <w:p w:rsidR="00EE0C93" w:rsidRPr="00EE0C93" w:rsidRDefault="00EE0C93" w:rsidP="00EE0C93">
            <w:pPr>
              <w:tabs>
                <w:tab w:val="left" w:pos="1985"/>
              </w:tabs>
              <w:spacing w:before="120"/>
              <w:ind w:left="33"/>
              <w:contextualSpacing/>
              <w:rPr>
                <w:rFonts w:eastAsia="Times New Roman" w:cs="Arial"/>
                <w:i/>
                <w:szCs w:val="24"/>
                <w:lang w:eastAsia="en-US"/>
              </w:rPr>
            </w:pPr>
            <w:r w:rsidRPr="00EE0C93">
              <w:rPr>
                <w:rFonts w:eastAsia="Times New Roman" w:cs="Arial"/>
                <w:i/>
                <w:szCs w:val="24"/>
                <w:lang w:eastAsia="en-US"/>
              </w:rPr>
              <w:t>In broad terms consider: supplier, owner, customer, competitor, employee, regulator, partner and management</w:t>
            </w:r>
            <w:r>
              <w:rPr>
                <w:rFonts w:eastAsia="Times New Roman" w:cs="Arial"/>
                <w:i/>
                <w:szCs w:val="24"/>
                <w:lang w:eastAsia="en-US"/>
              </w:rPr>
              <w:t xml:space="preserve">. </w:t>
            </w:r>
            <w:r w:rsidRPr="00EE0C93">
              <w:rPr>
                <w:rFonts w:eastAsia="Times New Roman" w:cs="Arial"/>
                <w:i/>
                <w:szCs w:val="24"/>
                <w:lang w:eastAsia="en-US"/>
              </w:rPr>
              <w:t>Specifically consider: local authorities, the Highways Agency, statutory consultees, landowners, transport operators, local residents, utility companies, train operating companies, external campaigns, etc.</w:t>
            </w:r>
          </w:p>
          <w:p w:rsidR="00EE0C93" w:rsidRPr="00EE0C93" w:rsidRDefault="00EE0C93" w:rsidP="00EE0C93">
            <w:pPr>
              <w:tabs>
                <w:tab w:val="left" w:pos="1985"/>
              </w:tabs>
              <w:spacing w:before="120"/>
              <w:ind w:left="33"/>
              <w:contextualSpacing/>
              <w:rPr>
                <w:rFonts w:eastAsia="Times New Roman" w:cs="Arial"/>
                <w:i/>
                <w:szCs w:val="24"/>
                <w:lang w:eastAsia="en-US"/>
              </w:rPr>
            </w:pPr>
          </w:p>
          <w:p w:rsidR="00EE0C93" w:rsidRPr="00EE0C93" w:rsidRDefault="00EE0C93" w:rsidP="00EE0C93">
            <w:pPr>
              <w:tabs>
                <w:tab w:val="left" w:pos="1985"/>
              </w:tabs>
              <w:spacing w:before="120"/>
              <w:ind w:left="33"/>
              <w:contextualSpacing/>
              <w:rPr>
                <w:rFonts w:eastAsia="Times New Roman" w:cs="Arial"/>
                <w:i/>
                <w:szCs w:val="24"/>
                <w:lang w:eastAsia="en-US"/>
              </w:rPr>
            </w:pPr>
            <w:r w:rsidRPr="00EE0C93">
              <w:rPr>
                <w:rFonts w:eastAsia="Times New Roman" w:cs="Arial"/>
                <w:i/>
                <w:szCs w:val="24"/>
                <w:lang w:eastAsia="en-US"/>
              </w:rPr>
              <w:t>Identify champion, supporter, neutral, critic, opponent and blocker</w:t>
            </w:r>
          </w:p>
          <w:p w:rsidR="00EE0C93" w:rsidRPr="00EE0C93" w:rsidRDefault="00EE0C93" w:rsidP="00EE0C93">
            <w:pPr>
              <w:tabs>
                <w:tab w:val="left" w:pos="1985"/>
              </w:tabs>
              <w:spacing w:before="120"/>
              <w:ind w:left="33"/>
              <w:contextualSpacing/>
              <w:rPr>
                <w:rFonts w:eastAsia="Times New Roman" w:cs="Arial"/>
                <w:i/>
                <w:szCs w:val="24"/>
                <w:lang w:eastAsia="en-US"/>
              </w:rPr>
            </w:pPr>
          </w:p>
          <w:p w:rsidR="00EE0C93" w:rsidRPr="00EE0C93" w:rsidRDefault="00EE0C93" w:rsidP="00EE0C93">
            <w:pPr>
              <w:tabs>
                <w:tab w:val="left" w:pos="1985"/>
              </w:tabs>
              <w:spacing w:before="120"/>
              <w:ind w:left="33"/>
              <w:contextualSpacing/>
              <w:rPr>
                <w:rFonts w:eastAsia="Times New Roman" w:cs="Arial"/>
                <w:i/>
                <w:szCs w:val="24"/>
                <w:lang w:eastAsia="en-US"/>
              </w:rPr>
            </w:pPr>
            <w:r w:rsidRPr="00EE0C93">
              <w:rPr>
                <w:rFonts w:eastAsia="Times New Roman" w:cs="Arial"/>
                <w:i/>
                <w:szCs w:val="24"/>
                <w:lang w:eastAsia="en-US"/>
              </w:rPr>
              <w:t>Define stakeholder’s involvement (response, accountable, consulted, support, informed)</w:t>
            </w:r>
          </w:p>
          <w:p w:rsidR="00EE034D" w:rsidRDefault="00EE034D" w:rsidP="007A08DD">
            <w:pPr>
              <w:ind w:left="33"/>
            </w:pPr>
          </w:p>
          <w:p w:rsidR="007A08DD" w:rsidRDefault="007A08DD" w:rsidP="00A77301">
            <w:pPr>
              <w:ind w:left="33"/>
              <w:jc w:val="both"/>
            </w:pPr>
            <w:r>
              <w:t>As part of the adoption of the JAAP, extensive public consultation has already been undertaken, led by Southend and Rochford Councils</w:t>
            </w:r>
            <w:r w:rsidR="00B0033F">
              <w:t xml:space="preserve"> working jointly together</w:t>
            </w:r>
            <w:r>
              <w:t xml:space="preserve">. The </w:t>
            </w:r>
            <w:r w:rsidR="00A77301">
              <w:t xml:space="preserve">scheme </w:t>
            </w:r>
            <w:r>
              <w:t xml:space="preserve">proposals are fully in accordance and alignment with the JAAP which received very few objections and has been adopted as a formal planning policy document as a result. </w:t>
            </w:r>
            <w:r w:rsidR="00A77301">
              <w:t>The likelihood of stakeholder objections is therefore considered low.</w:t>
            </w:r>
            <w:r w:rsidR="00E926FE">
              <w:t xml:space="preserve"> Since the adoption of the JAAP, HBDL has undertaken further consultation with local residents and businesses and received wholly positive feedback on the proposals.  </w:t>
            </w:r>
          </w:p>
          <w:p w:rsidR="007A08DD" w:rsidRDefault="007A08DD" w:rsidP="00A77301">
            <w:pPr>
              <w:ind w:left="33"/>
              <w:jc w:val="both"/>
            </w:pPr>
          </w:p>
          <w:p w:rsidR="007A08DD" w:rsidRDefault="00A77301" w:rsidP="00A77301">
            <w:pPr>
              <w:ind w:left="33"/>
              <w:jc w:val="both"/>
            </w:pPr>
            <w:r>
              <w:t xml:space="preserve">HBDL is now responsible for all elements of stakeholder engagement and has already undertaken pre-application consultations with the public and key stakeholders. It has led key Member briefings, liaised with local businesses and undertaken a full letter drop around local residents. </w:t>
            </w:r>
          </w:p>
          <w:p w:rsidR="007A08DD" w:rsidRDefault="007A08DD" w:rsidP="00A77301">
            <w:pPr>
              <w:ind w:left="33"/>
              <w:jc w:val="both"/>
            </w:pPr>
          </w:p>
          <w:p w:rsidR="00A77301" w:rsidRDefault="00A77301" w:rsidP="00A77301">
            <w:pPr>
              <w:ind w:left="33"/>
              <w:jc w:val="both"/>
            </w:pPr>
            <w:r>
              <w:t xml:space="preserve">Given the proposals to deliver major new employment opportunities on a sustainable, high quality business park, it is considered unlikely to receive significant objection. HBDL will continue to manage stakeholder relations and engagement as the scheme progresses going forward. </w:t>
            </w:r>
          </w:p>
          <w:p w:rsidR="007A08DD" w:rsidRDefault="007A08DD" w:rsidP="007A08DD">
            <w:pPr>
              <w:ind w:left="33"/>
            </w:pPr>
          </w:p>
          <w:p w:rsidR="00E926FE" w:rsidRDefault="00E926FE" w:rsidP="007A08DD">
            <w:pPr>
              <w:ind w:left="33"/>
            </w:pPr>
          </w:p>
          <w:p w:rsidR="00E926FE" w:rsidRDefault="00E926FE" w:rsidP="00E926FE">
            <w:pPr>
              <w:jc w:val="both"/>
            </w:pPr>
            <w:r>
              <w:t>ABP Partnership Board which meets quarterly. The membership of this is comprised of the Council’s Chief Executive Officer and 2 directors (Corporate Director for Place and Corporate Director for Corporate Services) plus support officers and HBDL Directors (4 on each side). The purpose of this Board is to make key decisions, take strategic oversight and monitor spend and performance and members of the board report back to SBC Cabinet / HBDL Board as appropriate.</w:t>
            </w:r>
          </w:p>
          <w:p w:rsidR="007A08DD" w:rsidRPr="006408A0" w:rsidRDefault="007A08DD" w:rsidP="007A08DD">
            <w:pPr>
              <w:ind w:left="33"/>
            </w:pPr>
          </w:p>
        </w:tc>
      </w:tr>
      <w:tr w:rsidR="00B61222" w:rsidTr="00F75CAF">
        <w:tc>
          <w:tcPr>
            <w:tcW w:w="2629" w:type="dxa"/>
            <w:tcBorders>
              <w:bottom w:val="single" w:sz="4" w:space="0" w:color="auto"/>
            </w:tcBorders>
            <w:shd w:val="clear" w:color="auto" w:fill="4BACC6" w:themeFill="accent5"/>
          </w:tcPr>
          <w:p w:rsidR="00B61222" w:rsidRPr="00685C6D" w:rsidRDefault="00B61222" w:rsidP="001923FB">
            <w:pPr>
              <w:pStyle w:val="ListParagraph"/>
              <w:numPr>
                <w:ilvl w:val="1"/>
                <w:numId w:val="1"/>
              </w:numPr>
              <w:ind w:left="601" w:hanging="567"/>
              <w:rPr>
                <w:b/>
                <w:color w:val="FFFFFF" w:themeColor="background1"/>
              </w:rPr>
            </w:pPr>
            <w:r>
              <w:rPr>
                <w:b/>
                <w:color w:val="FFFFFF" w:themeColor="background1"/>
              </w:rPr>
              <w:lastRenderedPageBreak/>
              <w:t>Organisation track record</w:t>
            </w:r>
          </w:p>
        </w:tc>
        <w:tc>
          <w:tcPr>
            <w:tcW w:w="7719" w:type="dxa"/>
          </w:tcPr>
          <w:p w:rsidR="00B61222" w:rsidRDefault="00B61222" w:rsidP="00EE034D">
            <w:pPr>
              <w:ind w:left="33"/>
              <w:rPr>
                <w:i/>
              </w:rPr>
            </w:pPr>
            <w:r w:rsidRPr="00675461">
              <w:rPr>
                <w:i/>
              </w:rPr>
              <w:t>Please briefly describe the track record of the organisation in delivering schemes of this type, including whether they were completed to time and budget.</w:t>
            </w:r>
          </w:p>
          <w:p w:rsidR="008D70FC" w:rsidRDefault="008D70FC" w:rsidP="00EE034D">
            <w:pPr>
              <w:ind w:left="33"/>
              <w:rPr>
                <w:i/>
              </w:rPr>
            </w:pPr>
          </w:p>
          <w:p w:rsidR="00374A6F" w:rsidRPr="001A7E6D" w:rsidRDefault="00374A6F" w:rsidP="001A7E6D">
            <w:pPr>
              <w:spacing w:after="60"/>
              <w:jc w:val="both"/>
              <w:rPr>
                <w:rFonts w:cs="Arial"/>
              </w:rPr>
            </w:pPr>
            <w:r w:rsidRPr="001A7E6D">
              <w:rPr>
                <w:rFonts w:cs="Arial"/>
              </w:rPr>
              <w:t>Since 2008</w:t>
            </w:r>
            <w:r w:rsidR="001A7E6D">
              <w:rPr>
                <w:rFonts w:cs="Arial"/>
              </w:rPr>
              <w:t>,</w:t>
            </w:r>
            <w:r w:rsidRPr="001A7E6D">
              <w:rPr>
                <w:rFonts w:cs="Arial"/>
              </w:rPr>
              <w:t xml:space="preserve"> the </w:t>
            </w:r>
            <w:r w:rsidR="001A7E6D">
              <w:rPr>
                <w:rFonts w:cs="Arial"/>
              </w:rPr>
              <w:t>Council</w:t>
            </w:r>
            <w:r w:rsidRPr="001A7E6D">
              <w:rPr>
                <w:rFonts w:cs="Arial"/>
              </w:rPr>
              <w:t xml:space="preserve"> has secured funding from a range of sources.  It has delivered major capacity enhancements at two junctions on the A127 which were predicated on the opening up of employment opportunities in the JAAP area and town centre.  Southend has consistently maintained its strategic objectives to deliver the airport development and the Airport Business Park and funding decisions have been made accordingly.  Consistent with this strategy the Council is now undertaking a third with Pinchpoint funding at the Tesco junction.  The Council has also delivered two significant public realm schemes at City Beach and Victoria Gateway which sought to improve access to and dwell time for local traders, the UK’s first combined public-academic library</w:t>
            </w:r>
            <w:r w:rsidR="001A7E6D">
              <w:rPr>
                <w:rFonts w:cs="Arial"/>
              </w:rPr>
              <w:t>,</w:t>
            </w:r>
            <w:r w:rsidRPr="001A7E6D">
              <w:rPr>
                <w:rFonts w:cs="Arial"/>
              </w:rPr>
              <w:t xml:space="preserve"> ‘The Forum’ in partnership with Further Education and Higher Education providers, the Royal Pavilion events and conference centre on the end of Southend pier and the Garon Park Swimming and Diving centre used by the British diving team during the London 2012 Olympics.  Many of these have been recognised for their innovation, delivery and impact through industry awards.  The local authority is adaptable, agile and has a positive approach to development and does so working with relevant partners as reflected when it was awarded LGC Council of the Year 2012.</w:t>
            </w:r>
          </w:p>
          <w:p w:rsidR="008D70FC" w:rsidRPr="00EE034D" w:rsidRDefault="008D70FC" w:rsidP="00AC4467">
            <w:pPr>
              <w:spacing w:after="60"/>
              <w:rPr>
                <w:i/>
              </w:rPr>
            </w:pPr>
          </w:p>
        </w:tc>
      </w:tr>
      <w:tr w:rsidR="00EE034D" w:rsidTr="00F75CAF">
        <w:tc>
          <w:tcPr>
            <w:tcW w:w="2629" w:type="dxa"/>
            <w:shd w:val="clear" w:color="auto" w:fill="4BACC6" w:themeFill="accent5"/>
          </w:tcPr>
          <w:p w:rsidR="00EE034D" w:rsidRDefault="00862C65" w:rsidP="001923FB">
            <w:pPr>
              <w:pStyle w:val="ListParagraph"/>
              <w:numPr>
                <w:ilvl w:val="1"/>
                <w:numId w:val="1"/>
              </w:numPr>
              <w:ind w:left="601" w:hanging="567"/>
              <w:rPr>
                <w:b/>
                <w:color w:val="FFFFFF" w:themeColor="background1"/>
              </w:rPr>
            </w:pPr>
            <w:r>
              <w:rPr>
                <w:b/>
                <w:color w:val="FFFFFF" w:themeColor="background1"/>
              </w:rPr>
              <w:t>Assurance</w:t>
            </w:r>
          </w:p>
        </w:tc>
        <w:tc>
          <w:tcPr>
            <w:tcW w:w="7719" w:type="dxa"/>
          </w:tcPr>
          <w:p w:rsidR="00EE034D" w:rsidRDefault="00862C65" w:rsidP="00717D45">
            <w:pPr>
              <w:ind w:left="33"/>
              <w:rPr>
                <w:i/>
              </w:rPr>
            </w:pPr>
            <w:r>
              <w:rPr>
                <w:i/>
              </w:rPr>
              <w:t>Please provide s151 Officer confirmation that adequate assurance systems are in place</w:t>
            </w:r>
          </w:p>
          <w:p w:rsidR="00862C65" w:rsidRDefault="00862C65" w:rsidP="00717D45">
            <w:pPr>
              <w:ind w:left="33"/>
              <w:rPr>
                <w:i/>
              </w:rPr>
            </w:pPr>
          </w:p>
          <w:p w:rsidR="00862C65" w:rsidRDefault="00862C65" w:rsidP="00717D45">
            <w:pPr>
              <w:ind w:left="33"/>
              <w:rPr>
                <w:i/>
              </w:rPr>
            </w:pPr>
            <w:r>
              <w:rPr>
                <w:i/>
              </w:rPr>
              <w:t>Specify where the business case is subject to ITE assessment</w:t>
            </w:r>
          </w:p>
          <w:p w:rsidR="008D70FC" w:rsidRDefault="008D70FC" w:rsidP="00717D45">
            <w:pPr>
              <w:ind w:left="33"/>
              <w:rPr>
                <w:i/>
              </w:rPr>
            </w:pPr>
          </w:p>
          <w:p w:rsidR="008D70FC" w:rsidRPr="00374A6F" w:rsidRDefault="00A77301" w:rsidP="00717D45">
            <w:pPr>
              <w:ind w:left="33"/>
            </w:pPr>
            <w:r>
              <w:t>See attached s151 letter from the Council</w:t>
            </w:r>
          </w:p>
          <w:p w:rsidR="008D70FC" w:rsidRPr="00675461" w:rsidRDefault="008D70FC" w:rsidP="00717D45">
            <w:pPr>
              <w:ind w:left="33"/>
              <w:rPr>
                <w:i/>
              </w:rPr>
            </w:pPr>
          </w:p>
        </w:tc>
      </w:tr>
      <w:tr w:rsidR="00EE034D" w:rsidTr="00F75CAF">
        <w:tc>
          <w:tcPr>
            <w:tcW w:w="2629" w:type="dxa"/>
            <w:shd w:val="clear" w:color="auto" w:fill="4BACC6" w:themeFill="accent5"/>
          </w:tcPr>
          <w:p w:rsidR="00EE034D" w:rsidRDefault="009E1FED" w:rsidP="001923FB">
            <w:pPr>
              <w:pStyle w:val="ListParagraph"/>
              <w:numPr>
                <w:ilvl w:val="1"/>
                <w:numId w:val="1"/>
              </w:numPr>
              <w:ind w:left="601" w:hanging="567"/>
              <w:rPr>
                <w:b/>
                <w:color w:val="FFFFFF" w:themeColor="background1"/>
              </w:rPr>
            </w:pPr>
            <w:r>
              <w:rPr>
                <w:b/>
                <w:color w:val="FFFFFF" w:themeColor="background1"/>
              </w:rPr>
              <w:t>Monitoring and evaluation</w:t>
            </w:r>
          </w:p>
        </w:tc>
        <w:tc>
          <w:tcPr>
            <w:tcW w:w="7719" w:type="dxa"/>
          </w:tcPr>
          <w:p w:rsidR="00EE034D" w:rsidRDefault="009E1FED" w:rsidP="00717D45">
            <w:pPr>
              <w:ind w:left="33"/>
              <w:rPr>
                <w:i/>
              </w:rPr>
            </w:pPr>
            <w:r>
              <w:rPr>
                <w:i/>
              </w:rPr>
              <w:t>Please explain how you will monitor and evaluate the project, referring to the use of key performance indicators as appropriate.</w:t>
            </w:r>
          </w:p>
          <w:p w:rsidR="009E1FED" w:rsidRDefault="009E1FED" w:rsidP="00717D45">
            <w:pPr>
              <w:ind w:left="33"/>
              <w:rPr>
                <w:i/>
              </w:rPr>
            </w:pPr>
          </w:p>
          <w:p w:rsidR="009E1FED" w:rsidRDefault="009E1FED" w:rsidP="00717D45">
            <w:pPr>
              <w:ind w:left="33"/>
              <w:rPr>
                <w:i/>
              </w:rPr>
            </w:pPr>
            <w:r>
              <w:rPr>
                <w:i/>
              </w:rPr>
              <w:t>Will an Evaluation Plan be put in place? Will it be standlone; how will it be disseminated; how will lessons learned be incorporated into future projects?</w:t>
            </w:r>
          </w:p>
          <w:p w:rsidR="00862C65" w:rsidRDefault="00862C65" w:rsidP="00A77301">
            <w:pPr>
              <w:ind w:left="33"/>
              <w:jc w:val="both"/>
              <w:rPr>
                <w:i/>
              </w:rPr>
            </w:pPr>
          </w:p>
          <w:p w:rsidR="00A77301" w:rsidRDefault="00A77301" w:rsidP="00A77301">
            <w:pPr>
              <w:ind w:left="33"/>
              <w:jc w:val="both"/>
            </w:pPr>
            <w:r>
              <w:t xml:space="preserve">As previously outlined, capital expenditure will be monitored through the existing Capital Programme Monitoring Process and reported to the Council’s Cabinet. All economic outputs will be monitored by the ABP Partnership Board, comprising senior representatives from the Council and HBDL. Progress against key milestones will be reported back to the SELEP through the Project Team at regular intervals as required as part of a dedicated project monitoring process. KPI’s will be defined in agreement with the SELEP as part of the Funding Agreement and will be likely to relate to the delivery of new commercial floorspace as the main output to be monitored, with new job creation monitored as well. </w:t>
            </w:r>
          </w:p>
          <w:p w:rsidR="00A77301" w:rsidRDefault="00A77301" w:rsidP="00A77301">
            <w:pPr>
              <w:ind w:left="33"/>
              <w:jc w:val="both"/>
            </w:pPr>
          </w:p>
          <w:p w:rsidR="00A77301" w:rsidRDefault="00A77301" w:rsidP="00A77301">
            <w:pPr>
              <w:ind w:left="33"/>
              <w:jc w:val="both"/>
            </w:pPr>
            <w:r>
              <w:t xml:space="preserve">The Council will also develop an evaluation plan that will link to its monitoring strategy. It will undertake an independent evaluation of the scheme at a defined </w:t>
            </w:r>
            <w:r>
              <w:lastRenderedPageBreak/>
              <w:t xml:space="preserve">point in time post practical completion of the infrastructure works to assess the success of the project and its achievement of key target outputs against KPIs. Lessons learned from this will be fed back to the ABP Partnership Board which will relay these to </w:t>
            </w:r>
            <w:r w:rsidR="00B0033F">
              <w:t xml:space="preserve">inform </w:t>
            </w:r>
            <w:r>
              <w:t>other futur</w:t>
            </w:r>
            <w:r w:rsidR="00B0033F">
              <w:t xml:space="preserve">e Council-led capital projects to provide best practice recommendations. </w:t>
            </w:r>
          </w:p>
          <w:p w:rsidR="00A77301" w:rsidRDefault="00A77301" w:rsidP="00717D45">
            <w:pPr>
              <w:ind w:left="33"/>
            </w:pPr>
          </w:p>
          <w:p w:rsidR="00037A92" w:rsidRPr="00A77301" w:rsidRDefault="00037A92" w:rsidP="00717D45">
            <w:pPr>
              <w:ind w:left="33"/>
            </w:pPr>
            <w:r>
              <w:t xml:space="preserve">Key KPIs will relate to construction jobs, new floorspace (sqm) and new commercial jobs in the new floospace. KPI targets will mirror the annual output targets set out in the table in section 6.2.  </w:t>
            </w:r>
          </w:p>
          <w:p w:rsidR="00862C65" w:rsidRPr="00675461" w:rsidRDefault="00862C65" w:rsidP="00A77301">
            <w:pPr>
              <w:ind w:left="33"/>
              <w:rPr>
                <w:i/>
              </w:rPr>
            </w:pPr>
          </w:p>
        </w:tc>
      </w:tr>
    </w:tbl>
    <w:p w:rsidR="002E2BAE" w:rsidRDefault="002E2BAE" w:rsidP="00685C6D">
      <w:pPr>
        <w:spacing w:after="0" w:line="240" w:lineRule="auto"/>
        <w:rPr>
          <w:b/>
        </w:rPr>
      </w:pPr>
    </w:p>
    <w:p w:rsidR="004A4AE3" w:rsidRDefault="004A4AE3">
      <w:pPr>
        <w:rPr>
          <w:b/>
        </w:rPr>
      </w:pPr>
      <w:r>
        <w:rPr>
          <w:b/>
        </w:rPr>
        <w:br w:type="page"/>
      </w:r>
    </w:p>
    <w:p w:rsidR="00B61222" w:rsidRDefault="00B61222" w:rsidP="00685C6D">
      <w:pPr>
        <w:spacing w:after="0" w:line="240" w:lineRule="auto"/>
        <w:rPr>
          <w:b/>
        </w:rPr>
      </w:pPr>
    </w:p>
    <w:tbl>
      <w:tblPr>
        <w:tblStyle w:val="TableGrid"/>
        <w:tblW w:w="10632" w:type="dxa"/>
        <w:tblInd w:w="108" w:type="dxa"/>
        <w:tblLook w:val="04A0"/>
      </w:tblPr>
      <w:tblGrid>
        <w:gridCol w:w="2694"/>
        <w:gridCol w:w="1275"/>
        <w:gridCol w:w="1560"/>
        <w:gridCol w:w="1559"/>
        <w:gridCol w:w="3544"/>
      </w:tblGrid>
      <w:tr w:rsidR="002E2BAE">
        <w:tc>
          <w:tcPr>
            <w:tcW w:w="2694" w:type="dxa"/>
            <w:tcBorders>
              <w:bottom w:val="single" w:sz="4" w:space="0" w:color="auto"/>
            </w:tcBorders>
            <w:shd w:val="clear" w:color="auto" w:fill="000000" w:themeFill="text1"/>
          </w:tcPr>
          <w:p w:rsidR="002E2BAE" w:rsidRPr="002E2BAE" w:rsidRDefault="002E2BAE" w:rsidP="00B61222">
            <w:pPr>
              <w:pStyle w:val="ListParagraph"/>
              <w:numPr>
                <w:ilvl w:val="0"/>
                <w:numId w:val="1"/>
              </w:numPr>
              <w:ind w:left="601" w:hanging="567"/>
              <w:rPr>
                <w:b/>
              </w:rPr>
            </w:pPr>
            <w:r w:rsidRPr="006279EC">
              <w:rPr>
                <w:b/>
                <w:sz w:val="24"/>
              </w:rPr>
              <w:t>RISK ANALYSIS</w:t>
            </w:r>
          </w:p>
        </w:tc>
        <w:tc>
          <w:tcPr>
            <w:tcW w:w="7938" w:type="dxa"/>
            <w:gridSpan w:val="4"/>
            <w:tcBorders>
              <w:bottom w:val="single" w:sz="4" w:space="0" w:color="auto"/>
            </w:tcBorders>
            <w:shd w:val="clear" w:color="auto" w:fill="000000" w:themeFill="text1"/>
          </w:tcPr>
          <w:p w:rsidR="002E2BAE" w:rsidRDefault="002E2BAE" w:rsidP="00685C6D">
            <w:pPr>
              <w:rPr>
                <w:b/>
              </w:rPr>
            </w:pPr>
          </w:p>
        </w:tc>
      </w:tr>
      <w:tr w:rsidR="00B61222">
        <w:trPr>
          <w:trHeight w:val="156"/>
        </w:trPr>
        <w:tc>
          <w:tcPr>
            <w:tcW w:w="10632" w:type="dxa"/>
            <w:gridSpan w:val="5"/>
            <w:shd w:val="clear" w:color="auto" w:fill="FFFFFF" w:themeFill="background1"/>
          </w:tcPr>
          <w:p w:rsidR="00B61222" w:rsidRDefault="00B61222" w:rsidP="00685C6D">
            <w:pPr>
              <w:rPr>
                <w:b/>
              </w:rPr>
            </w:pPr>
            <w:r>
              <w:rPr>
                <w:b/>
              </w:rPr>
              <w:t>Likelihood and impact scores:</w:t>
            </w:r>
          </w:p>
          <w:p w:rsidR="00B61222" w:rsidRDefault="00B61222" w:rsidP="00B61222">
            <w:r>
              <w:t>5: Very high; 4: High; 3: Medium; 2: Low; 1: Very low</w:t>
            </w:r>
          </w:p>
          <w:p w:rsidR="00B61222" w:rsidRPr="00685C6D" w:rsidRDefault="00B61222" w:rsidP="00685C6D">
            <w:pPr>
              <w:rPr>
                <w:b/>
                <w:color w:val="FFFFFF" w:themeColor="background1"/>
              </w:rPr>
            </w:pPr>
          </w:p>
        </w:tc>
      </w:tr>
      <w:tr w:rsidR="00B61222">
        <w:trPr>
          <w:trHeight w:val="156"/>
        </w:trPr>
        <w:tc>
          <w:tcPr>
            <w:tcW w:w="3969" w:type="dxa"/>
            <w:gridSpan w:val="2"/>
            <w:shd w:val="clear" w:color="auto" w:fill="4BACC6" w:themeFill="accent5"/>
          </w:tcPr>
          <w:p w:rsidR="00B61222" w:rsidRPr="00685C6D" w:rsidRDefault="00B61222" w:rsidP="00685C6D">
            <w:pPr>
              <w:rPr>
                <w:b/>
                <w:color w:val="FFFFFF" w:themeColor="background1"/>
              </w:rPr>
            </w:pPr>
            <w:r w:rsidRPr="00685C6D">
              <w:rPr>
                <w:b/>
                <w:color w:val="FFFFFF" w:themeColor="background1"/>
              </w:rPr>
              <w:t>Risk</w:t>
            </w:r>
          </w:p>
        </w:tc>
        <w:tc>
          <w:tcPr>
            <w:tcW w:w="1560" w:type="dxa"/>
            <w:shd w:val="clear" w:color="auto" w:fill="4BACC6" w:themeFill="accent5"/>
          </w:tcPr>
          <w:p w:rsidR="00B61222" w:rsidRPr="00685C6D" w:rsidRDefault="00B61222" w:rsidP="00685C6D">
            <w:pPr>
              <w:rPr>
                <w:b/>
                <w:color w:val="FFFFFF" w:themeColor="background1"/>
              </w:rPr>
            </w:pPr>
            <w:r w:rsidRPr="00685C6D">
              <w:rPr>
                <w:b/>
                <w:color w:val="FFFFFF" w:themeColor="background1"/>
              </w:rPr>
              <w:t>Likelihood*</w:t>
            </w:r>
          </w:p>
        </w:tc>
        <w:tc>
          <w:tcPr>
            <w:tcW w:w="1559" w:type="dxa"/>
            <w:shd w:val="clear" w:color="auto" w:fill="4BACC6" w:themeFill="accent5"/>
          </w:tcPr>
          <w:p w:rsidR="00B61222" w:rsidRPr="00685C6D" w:rsidRDefault="00B61222" w:rsidP="00685C6D">
            <w:pPr>
              <w:rPr>
                <w:b/>
                <w:color w:val="FFFFFF" w:themeColor="background1"/>
              </w:rPr>
            </w:pPr>
            <w:r w:rsidRPr="00685C6D">
              <w:rPr>
                <w:b/>
                <w:color w:val="FFFFFF" w:themeColor="background1"/>
              </w:rPr>
              <w:t>Impact*</w:t>
            </w:r>
          </w:p>
        </w:tc>
        <w:tc>
          <w:tcPr>
            <w:tcW w:w="3544" w:type="dxa"/>
            <w:shd w:val="clear" w:color="auto" w:fill="4BACC6" w:themeFill="accent5"/>
          </w:tcPr>
          <w:p w:rsidR="00B61222" w:rsidRPr="00685C6D" w:rsidRDefault="00B61222" w:rsidP="00685C6D">
            <w:pPr>
              <w:rPr>
                <w:b/>
                <w:color w:val="FFFFFF" w:themeColor="background1"/>
              </w:rPr>
            </w:pPr>
            <w:r w:rsidRPr="00685C6D">
              <w:rPr>
                <w:b/>
                <w:color w:val="FFFFFF" w:themeColor="background1"/>
              </w:rPr>
              <w:t>Mitigation</w:t>
            </w:r>
          </w:p>
        </w:tc>
      </w:tr>
      <w:tr w:rsidR="00B61222">
        <w:trPr>
          <w:trHeight w:val="153"/>
        </w:trPr>
        <w:tc>
          <w:tcPr>
            <w:tcW w:w="3969" w:type="dxa"/>
            <w:gridSpan w:val="2"/>
          </w:tcPr>
          <w:p w:rsidR="00C10158" w:rsidRPr="00DB5EFF" w:rsidRDefault="00C10158" w:rsidP="00685C6D">
            <w:r>
              <w:t>Failure to secure planning consent</w:t>
            </w:r>
          </w:p>
        </w:tc>
        <w:tc>
          <w:tcPr>
            <w:tcW w:w="1560" w:type="dxa"/>
          </w:tcPr>
          <w:p w:rsidR="00B61222" w:rsidRPr="00DB5EFF" w:rsidRDefault="00AF4BBA" w:rsidP="00685C6D">
            <w:r>
              <w:t>2</w:t>
            </w:r>
          </w:p>
        </w:tc>
        <w:tc>
          <w:tcPr>
            <w:tcW w:w="1559" w:type="dxa"/>
          </w:tcPr>
          <w:p w:rsidR="00B61222" w:rsidRPr="00DB5EFF" w:rsidRDefault="00AF4BBA" w:rsidP="00685C6D">
            <w:r>
              <w:t>5</w:t>
            </w:r>
          </w:p>
        </w:tc>
        <w:tc>
          <w:tcPr>
            <w:tcW w:w="3544" w:type="dxa"/>
          </w:tcPr>
          <w:p w:rsidR="00B61222" w:rsidRPr="00DB5EFF" w:rsidRDefault="00AF4BBA" w:rsidP="00685C6D">
            <w:r>
              <w:t xml:space="preserve">The JAAP has already been through an EiP and has been adopted and the planning applications fully align with these. Applications have already been submitted. </w:t>
            </w:r>
            <w:r w:rsidR="00523665">
              <w:t>Risk owner – HBDL as planning applicant</w:t>
            </w:r>
          </w:p>
        </w:tc>
      </w:tr>
      <w:tr w:rsidR="00B61222">
        <w:trPr>
          <w:trHeight w:val="153"/>
        </w:trPr>
        <w:tc>
          <w:tcPr>
            <w:tcW w:w="3969" w:type="dxa"/>
            <w:gridSpan w:val="2"/>
          </w:tcPr>
          <w:p w:rsidR="00B61222" w:rsidRPr="00DB5EFF" w:rsidRDefault="001A7E6D" w:rsidP="00685C6D">
            <w:r>
              <w:t xml:space="preserve">Failure to reach </w:t>
            </w:r>
            <w:r w:rsidR="00DC6C28">
              <w:t xml:space="preserve">a mutually acceptable </w:t>
            </w:r>
            <w:r>
              <w:t xml:space="preserve">agreement with the </w:t>
            </w:r>
            <w:r w:rsidR="00AF4BBA">
              <w:t>Rugby Club</w:t>
            </w:r>
          </w:p>
        </w:tc>
        <w:tc>
          <w:tcPr>
            <w:tcW w:w="1560" w:type="dxa"/>
          </w:tcPr>
          <w:p w:rsidR="00B61222" w:rsidRPr="00DB5EFF" w:rsidRDefault="00DC6C28" w:rsidP="00685C6D">
            <w:r>
              <w:t>2/3</w:t>
            </w:r>
          </w:p>
        </w:tc>
        <w:tc>
          <w:tcPr>
            <w:tcW w:w="1559" w:type="dxa"/>
          </w:tcPr>
          <w:p w:rsidR="00B61222" w:rsidRPr="00DB5EFF" w:rsidRDefault="00DC6C28" w:rsidP="00685C6D">
            <w:r>
              <w:t>5</w:t>
            </w:r>
          </w:p>
        </w:tc>
        <w:tc>
          <w:tcPr>
            <w:tcW w:w="3544" w:type="dxa"/>
          </w:tcPr>
          <w:p w:rsidR="00B61222" w:rsidRPr="00DB5EFF" w:rsidRDefault="00DC6C28" w:rsidP="00685C6D">
            <w:r>
              <w:t>Discussions have been ongoing for some time and the Rugby Club have been engaged throughout. The Council owns the site and the Council is aiming to reach a position of agreement in the next 2 months</w:t>
            </w:r>
            <w:r w:rsidR="00523665">
              <w:t>. Risk owner – Southend Council</w:t>
            </w:r>
          </w:p>
        </w:tc>
      </w:tr>
      <w:tr w:rsidR="00B61222">
        <w:trPr>
          <w:trHeight w:val="153"/>
        </w:trPr>
        <w:tc>
          <w:tcPr>
            <w:tcW w:w="3969" w:type="dxa"/>
            <w:gridSpan w:val="2"/>
          </w:tcPr>
          <w:p w:rsidR="00B61222" w:rsidRPr="00DB5EFF" w:rsidRDefault="00C10158" w:rsidP="00685C6D">
            <w:r>
              <w:t>LGF funding not secured</w:t>
            </w:r>
          </w:p>
        </w:tc>
        <w:tc>
          <w:tcPr>
            <w:tcW w:w="1560" w:type="dxa"/>
          </w:tcPr>
          <w:p w:rsidR="00B61222" w:rsidRPr="00DB5EFF" w:rsidRDefault="00DC6C28" w:rsidP="00685C6D">
            <w:r>
              <w:t>3</w:t>
            </w:r>
          </w:p>
        </w:tc>
        <w:tc>
          <w:tcPr>
            <w:tcW w:w="1559" w:type="dxa"/>
          </w:tcPr>
          <w:p w:rsidR="00B61222" w:rsidRPr="00DB5EFF" w:rsidRDefault="00DC6C28" w:rsidP="00685C6D">
            <w:r>
              <w:t>5</w:t>
            </w:r>
          </w:p>
        </w:tc>
        <w:tc>
          <w:tcPr>
            <w:tcW w:w="3544" w:type="dxa"/>
          </w:tcPr>
          <w:p w:rsidR="00B61222" w:rsidRPr="00DB5EFF" w:rsidRDefault="00DC6C28" w:rsidP="00685C6D">
            <w:r>
              <w:t>The Council has previously submitted a strategic outline business case seeking LGF support in principle towards the ABP scheme and has been in discussion with the LEP since to maximise the prospects of securing an LGF allocation. This business case has since been prepared to support the case for a phase 1 £3.2m LGF allocation.</w:t>
            </w:r>
            <w:r w:rsidR="00523665">
              <w:t xml:space="preserve"> Risk owner – Southend Council as promoter/sponsor and LGF applicant</w:t>
            </w:r>
          </w:p>
        </w:tc>
      </w:tr>
      <w:tr w:rsidR="00041887">
        <w:trPr>
          <w:trHeight w:val="153"/>
        </w:trPr>
        <w:tc>
          <w:tcPr>
            <w:tcW w:w="3969" w:type="dxa"/>
            <w:gridSpan w:val="2"/>
          </w:tcPr>
          <w:p w:rsidR="00041887" w:rsidRDefault="00041887" w:rsidP="00685C6D">
            <w:r>
              <w:t>Council funding is not secured</w:t>
            </w:r>
          </w:p>
        </w:tc>
        <w:tc>
          <w:tcPr>
            <w:tcW w:w="1560" w:type="dxa"/>
          </w:tcPr>
          <w:p w:rsidR="00041887" w:rsidRPr="00DB5EFF" w:rsidRDefault="00DC6C28" w:rsidP="00685C6D">
            <w:r>
              <w:t>1</w:t>
            </w:r>
          </w:p>
        </w:tc>
        <w:tc>
          <w:tcPr>
            <w:tcW w:w="1559" w:type="dxa"/>
          </w:tcPr>
          <w:p w:rsidR="00041887" w:rsidRPr="00DB5EFF" w:rsidRDefault="00DC6C28" w:rsidP="00685C6D">
            <w:r>
              <w:t>5</w:t>
            </w:r>
          </w:p>
        </w:tc>
        <w:tc>
          <w:tcPr>
            <w:tcW w:w="3544" w:type="dxa"/>
          </w:tcPr>
          <w:p w:rsidR="00041887" w:rsidRPr="00DB5EFF" w:rsidRDefault="00DC6C28" w:rsidP="00514304">
            <w:r>
              <w:t>The Council contribution is already allocated in its 10 year capital programme and will be</w:t>
            </w:r>
            <w:r w:rsidR="00514304">
              <w:t xml:space="preserve"> made</w:t>
            </w:r>
            <w:r>
              <w:t xml:space="preserve"> available</w:t>
            </w:r>
            <w:r w:rsidR="00514304">
              <w:t xml:space="preserve"> immediately upon receipt of</w:t>
            </w:r>
            <w:r>
              <w:t xml:space="preserve"> the LGF award</w:t>
            </w:r>
            <w:r w:rsidR="00523665">
              <w:t xml:space="preserve">. Risk owner – Southend Council </w:t>
            </w:r>
          </w:p>
        </w:tc>
      </w:tr>
      <w:tr w:rsidR="0083237E">
        <w:trPr>
          <w:trHeight w:val="153"/>
        </w:trPr>
        <w:tc>
          <w:tcPr>
            <w:tcW w:w="3969" w:type="dxa"/>
            <w:gridSpan w:val="2"/>
          </w:tcPr>
          <w:p w:rsidR="0083237E" w:rsidRDefault="0083237E" w:rsidP="00227804">
            <w:r>
              <w:t>Lack of market demand for phase 1 scheme</w:t>
            </w:r>
            <w:r w:rsidR="00AF4BBA">
              <w:t xml:space="preserve"> and </w:t>
            </w:r>
            <w:r w:rsidR="00227804">
              <w:t>therefore lack of delivery of floorspace/jobs</w:t>
            </w:r>
          </w:p>
        </w:tc>
        <w:tc>
          <w:tcPr>
            <w:tcW w:w="1560" w:type="dxa"/>
          </w:tcPr>
          <w:p w:rsidR="0083237E" w:rsidRPr="00DB5EFF" w:rsidRDefault="00227804" w:rsidP="00685C6D">
            <w:r>
              <w:t>2</w:t>
            </w:r>
          </w:p>
        </w:tc>
        <w:tc>
          <w:tcPr>
            <w:tcW w:w="1559" w:type="dxa"/>
          </w:tcPr>
          <w:p w:rsidR="0083237E" w:rsidRPr="00DB5EFF" w:rsidRDefault="00227804" w:rsidP="00685C6D">
            <w:r>
              <w:t>5</w:t>
            </w:r>
          </w:p>
        </w:tc>
        <w:tc>
          <w:tcPr>
            <w:tcW w:w="3544" w:type="dxa"/>
          </w:tcPr>
          <w:p w:rsidR="0083237E" w:rsidRPr="00DB5EFF" w:rsidRDefault="00227804" w:rsidP="00685C6D">
            <w:r>
              <w:t xml:space="preserve">The Council and its development partner, HBDL, are confident of the demand prospects for the site. It is a strategic employment site in a high profile location next to the Airport. It has the potential scale and attributes to address the current lack of suitable high quality employment land and premises in the local area and attract inward investors, both linked to the aviation sector and wider key growth sectors. </w:t>
            </w:r>
            <w:r w:rsidR="00F42166">
              <w:t xml:space="preserve">If demand from B1(a) occupiers does not materialise as envisaged, there is always the potential for flexibility around this to make the phase 1 scheme available to B1(b) light industrial occupiers as well and this </w:t>
            </w:r>
            <w:r w:rsidR="00F42166">
              <w:lastRenderedPageBreak/>
              <w:t xml:space="preserve">would still be in accordance with the JAAP. </w:t>
            </w:r>
            <w:r w:rsidR="00523665">
              <w:t>Risk owner – HBDL as development partner and lead on site marketing</w:t>
            </w:r>
          </w:p>
        </w:tc>
      </w:tr>
      <w:tr w:rsidR="0083237E">
        <w:trPr>
          <w:trHeight w:val="153"/>
        </w:trPr>
        <w:tc>
          <w:tcPr>
            <w:tcW w:w="3969" w:type="dxa"/>
            <w:gridSpan w:val="2"/>
          </w:tcPr>
          <w:p w:rsidR="0083237E" w:rsidRDefault="0083237E" w:rsidP="00685C6D">
            <w:r>
              <w:lastRenderedPageBreak/>
              <w:t>Infrastructure costs exceed expectations</w:t>
            </w:r>
          </w:p>
        </w:tc>
        <w:tc>
          <w:tcPr>
            <w:tcW w:w="1560" w:type="dxa"/>
          </w:tcPr>
          <w:p w:rsidR="0083237E" w:rsidRPr="00DB5EFF" w:rsidRDefault="00227804" w:rsidP="00685C6D">
            <w:r>
              <w:t>2</w:t>
            </w:r>
          </w:p>
        </w:tc>
        <w:tc>
          <w:tcPr>
            <w:tcW w:w="1559" w:type="dxa"/>
          </w:tcPr>
          <w:p w:rsidR="0083237E" w:rsidRPr="00DB5EFF" w:rsidRDefault="00227804" w:rsidP="00685C6D">
            <w:r>
              <w:t>4</w:t>
            </w:r>
          </w:p>
        </w:tc>
        <w:tc>
          <w:tcPr>
            <w:tcW w:w="3544" w:type="dxa"/>
          </w:tcPr>
          <w:p w:rsidR="0083237E" w:rsidRPr="00DB5EFF" w:rsidRDefault="00227804" w:rsidP="00685C6D">
            <w:r>
              <w:t>Professional cost consultancy advice has already been sought to inform the indicative cost plans that have been prepared. These include a 5% contingency as well. The Council has committed to fund any reasonable cost over-runs.</w:t>
            </w:r>
            <w:r w:rsidR="00523665">
              <w:t xml:space="preserve"> Risk owner – HBDL</w:t>
            </w:r>
          </w:p>
        </w:tc>
      </w:tr>
      <w:tr w:rsidR="0083237E">
        <w:trPr>
          <w:trHeight w:val="153"/>
        </w:trPr>
        <w:tc>
          <w:tcPr>
            <w:tcW w:w="3969" w:type="dxa"/>
            <w:gridSpan w:val="2"/>
          </w:tcPr>
          <w:p w:rsidR="0083237E" w:rsidRDefault="0083237E" w:rsidP="00685C6D">
            <w:r>
              <w:t xml:space="preserve">Ground condition/other environmental </w:t>
            </w:r>
            <w:r w:rsidR="00AF4BBA">
              <w:t xml:space="preserve">or archaeological </w:t>
            </w:r>
            <w:r>
              <w:t>issues arise</w:t>
            </w:r>
            <w:r w:rsidR="00227804">
              <w:t xml:space="preserve"> which delay progress or result in increased costs</w:t>
            </w:r>
          </w:p>
        </w:tc>
        <w:tc>
          <w:tcPr>
            <w:tcW w:w="1560" w:type="dxa"/>
          </w:tcPr>
          <w:p w:rsidR="0083237E" w:rsidRPr="00DB5EFF" w:rsidRDefault="00227804" w:rsidP="00685C6D">
            <w:r>
              <w:t>3</w:t>
            </w:r>
          </w:p>
        </w:tc>
        <w:tc>
          <w:tcPr>
            <w:tcW w:w="1559" w:type="dxa"/>
          </w:tcPr>
          <w:p w:rsidR="0083237E" w:rsidRPr="00DB5EFF" w:rsidRDefault="00227804" w:rsidP="00685C6D">
            <w:r>
              <w:t>4</w:t>
            </w:r>
          </w:p>
        </w:tc>
        <w:tc>
          <w:tcPr>
            <w:tcW w:w="3544" w:type="dxa"/>
          </w:tcPr>
          <w:p w:rsidR="0083237E" w:rsidRPr="00DB5EFF" w:rsidRDefault="00227804" w:rsidP="00685C6D">
            <w:r>
              <w:t>Initial environmental surveys have already been undertaken and given that the Council owns the sites, is has information on them. Further site investigation work will be undertaken at the next stage as part of the detailed design stage. There is an allowance in the cost plan for this and a contingency has also been applied as above.</w:t>
            </w:r>
            <w:r w:rsidR="00523665">
              <w:t xml:space="preserve"> Risk owner – HBDL/Southend Council</w:t>
            </w:r>
          </w:p>
        </w:tc>
      </w:tr>
      <w:tr w:rsidR="00AF4BBA">
        <w:trPr>
          <w:trHeight w:val="153"/>
        </w:trPr>
        <w:tc>
          <w:tcPr>
            <w:tcW w:w="3969" w:type="dxa"/>
            <w:gridSpan w:val="2"/>
          </w:tcPr>
          <w:p w:rsidR="00AF4BBA" w:rsidRDefault="00AF4BBA" w:rsidP="00685C6D">
            <w:r>
              <w:t>Contractor procurement delays</w:t>
            </w:r>
          </w:p>
        </w:tc>
        <w:tc>
          <w:tcPr>
            <w:tcW w:w="1560" w:type="dxa"/>
          </w:tcPr>
          <w:p w:rsidR="00AF4BBA" w:rsidRPr="00DB5EFF" w:rsidRDefault="00227804" w:rsidP="00685C6D">
            <w:r>
              <w:t>2</w:t>
            </w:r>
          </w:p>
        </w:tc>
        <w:tc>
          <w:tcPr>
            <w:tcW w:w="1559" w:type="dxa"/>
          </w:tcPr>
          <w:p w:rsidR="00AF4BBA" w:rsidRPr="00DB5EFF" w:rsidRDefault="00227804" w:rsidP="00685C6D">
            <w:r>
              <w:t>4</w:t>
            </w:r>
          </w:p>
        </w:tc>
        <w:tc>
          <w:tcPr>
            <w:tcW w:w="3544" w:type="dxa"/>
          </w:tcPr>
          <w:p w:rsidR="00AF4BBA" w:rsidRPr="00DB5EFF" w:rsidRDefault="00636BDB" w:rsidP="00685C6D">
            <w:r>
              <w:t>This will be HBDL’s responsibility as per the terms of the DA and HBDL is highly experienced in doing so as a developer with a national track record established over a number of years. All procurement will be undertaken in accordance with Council rules. Risk owner – HBDL/Council</w:t>
            </w:r>
          </w:p>
        </w:tc>
      </w:tr>
      <w:tr w:rsidR="0083237E">
        <w:trPr>
          <w:trHeight w:val="153"/>
        </w:trPr>
        <w:tc>
          <w:tcPr>
            <w:tcW w:w="3969" w:type="dxa"/>
            <w:gridSpan w:val="2"/>
          </w:tcPr>
          <w:p w:rsidR="0083237E" w:rsidRDefault="00AF4BBA" w:rsidP="00685C6D">
            <w:r>
              <w:t>LGF is not spent by March 2017</w:t>
            </w:r>
          </w:p>
        </w:tc>
        <w:tc>
          <w:tcPr>
            <w:tcW w:w="1560" w:type="dxa"/>
          </w:tcPr>
          <w:p w:rsidR="0083237E" w:rsidRPr="00DB5EFF" w:rsidRDefault="00227804" w:rsidP="00685C6D">
            <w:r>
              <w:t>2</w:t>
            </w:r>
          </w:p>
        </w:tc>
        <w:tc>
          <w:tcPr>
            <w:tcW w:w="1559" w:type="dxa"/>
          </w:tcPr>
          <w:p w:rsidR="0083237E" w:rsidRPr="00DB5EFF" w:rsidRDefault="00227804" w:rsidP="00685C6D">
            <w:r>
              <w:t>4</w:t>
            </w:r>
          </w:p>
        </w:tc>
        <w:tc>
          <w:tcPr>
            <w:tcW w:w="3544" w:type="dxa"/>
          </w:tcPr>
          <w:p w:rsidR="0083237E" w:rsidRPr="00DB5EFF" w:rsidRDefault="00227804" w:rsidP="00685C6D">
            <w:r>
              <w:t>The project Gannt chart demonstrates the potential to achieve this spend profile and the assumed tasks are considered wholly do-able within this timeframe, especially given that there are no land acquisition</w:t>
            </w:r>
            <w:r w:rsidR="006C58E3">
              <w:t xml:space="preserve">s to be undertaken. </w:t>
            </w:r>
            <w:r w:rsidR="00523665">
              <w:t xml:space="preserve">Risk owner – HBDL as LGF applicant and recipient </w:t>
            </w:r>
          </w:p>
        </w:tc>
      </w:tr>
    </w:tbl>
    <w:p w:rsidR="00F01C53" w:rsidRDefault="00F01C53" w:rsidP="00685C6D">
      <w:pPr>
        <w:spacing w:after="0" w:line="240" w:lineRule="auto"/>
        <w:rPr>
          <w:b/>
        </w:rPr>
      </w:pPr>
    </w:p>
    <w:p w:rsidR="00B61222" w:rsidRDefault="00B61222" w:rsidP="00685C6D">
      <w:pPr>
        <w:spacing w:after="0" w:line="240" w:lineRule="auto"/>
        <w:rPr>
          <w:b/>
        </w:rPr>
      </w:pPr>
    </w:p>
    <w:p w:rsidR="00B61222" w:rsidRDefault="00B61222" w:rsidP="00685C6D">
      <w:pPr>
        <w:spacing w:after="0" w:line="240" w:lineRule="auto"/>
        <w:rPr>
          <w:b/>
        </w:rPr>
      </w:pPr>
    </w:p>
    <w:tbl>
      <w:tblPr>
        <w:tblStyle w:val="TableGrid"/>
        <w:tblW w:w="0" w:type="auto"/>
        <w:tblInd w:w="108" w:type="dxa"/>
        <w:tblLook w:val="04A0"/>
      </w:tblPr>
      <w:tblGrid>
        <w:gridCol w:w="5245"/>
        <w:gridCol w:w="1559"/>
        <w:gridCol w:w="3770"/>
      </w:tblGrid>
      <w:tr w:rsidR="00B61222">
        <w:tc>
          <w:tcPr>
            <w:tcW w:w="10574" w:type="dxa"/>
            <w:gridSpan w:val="3"/>
            <w:tcBorders>
              <w:bottom w:val="single" w:sz="4" w:space="0" w:color="auto"/>
            </w:tcBorders>
            <w:shd w:val="clear" w:color="auto" w:fill="000000" w:themeFill="text1"/>
          </w:tcPr>
          <w:p w:rsidR="00B61222" w:rsidRPr="004A4AE3" w:rsidRDefault="004A4AE3" w:rsidP="004A4AE3">
            <w:pPr>
              <w:pStyle w:val="ListParagraph"/>
              <w:numPr>
                <w:ilvl w:val="0"/>
                <w:numId w:val="1"/>
              </w:numPr>
              <w:ind w:left="601" w:hanging="601"/>
              <w:rPr>
                <w:b/>
                <w:sz w:val="24"/>
              </w:rPr>
            </w:pPr>
            <w:r>
              <w:rPr>
                <w:b/>
                <w:sz w:val="24"/>
              </w:rPr>
              <w:t>DECLARATIONS</w:t>
            </w:r>
          </w:p>
        </w:tc>
      </w:tr>
      <w:tr w:rsidR="00B61222">
        <w:tc>
          <w:tcPr>
            <w:tcW w:w="10574" w:type="dxa"/>
            <w:gridSpan w:val="3"/>
            <w:shd w:val="clear" w:color="auto" w:fill="FFFFFF" w:themeFill="background1"/>
          </w:tcPr>
          <w:p w:rsidR="00B61222" w:rsidRPr="0091574B" w:rsidRDefault="00B61222" w:rsidP="004A4AE3">
            <w:pPr>
              <w:ind w:left="33"/>
              <w:rPr>
                <w:i/>
              </w:rPr>
            </w:pPr>
          </w:p>
        </w:tc>
      </w:tr>
      <w:tr w:rsidR="00B61222">
        <w:tc>
          <w:tcPr>
            <w:tcW w:w="6804" w:type="dxa"/>
            <w:gridSpan w:val="2"/>
            <w:shd w:val="clear" w:color="auto" w:fill="FFFFFF" w:themeFill="background1"/>
          </w:tcPr>
          <w:p w:rsidR="00B61222" w:rsidRPr="00301759" w:rsidRDefault="00301759" w:rsidP="00301759">
            <w:pPr>
              <w:pStyle w:val="ListParagraph"/>
              <w:numPr>
                <w:ilvl w:val="1"/>
                <w:numId w:val="1"/>
              </w:numPr>
              <w:ind w:left="601" w:hanging="601"/>
            </w:pPr>
            <w:r w:rsidRPr="00301759">
              <w:rPr>
                <w:rFonts w:cs="Arial"/>
              </w:rPr>
              <w:t xml:space="preserve">Has any director/partner ever been disqualified from being a company director under the Company Directors Disqualification Act (1986) or ever been the proprietor, partner or director of a business that has been subject to an investigation (completed, current or pending) undertaken under the Companies, Financial Services or Banking Acts?  </w:t>
            </w:r>
          </w:p>
        </w:tc>
        <w:tc>
          <w:tcPr>
            <w:tcW w:w="3770" w:type="dxa"/>
          </w:tcPr>
          <w:p w:rsidR="00B61222" w:rsidRPr="002E2BAE" w:rsidRDefault="00301759" w:rsidP="009167BF">
            <w:pPr>
              <w:ind w:left="33"/>
              <w:rPr>
                <w:i/>
              </w:rPr>
            </w:pPr>
            <w:r>
              <w:rPr>
                <w:i/>
              </w:rPr>
              <w:t>No</w:t>
            </w:r>
          </w:p>
        </w:tc>
      </w:tr>
      <w:tr w:rsidR="00301759">
        <w:tc>
          <w:tcPr>
            <w:tcW w:w="6804" w:type="dxa"/>
            <w:gridSpan w:val="2"/>
            <w:shd w:val="clear" w:color="auto" w:fill="FFFFFF" w:themeFill="background1"/>
          </w:tcPr>
          <w:p w:rsidR="00301759" w:rsidRPr="00301759" w:rsidRDefault="00301759" w:rsidP="00301759">
            <w:pPr>
              <w:pStyle w:val="ListParagraph"/>
              <w:numPr>
                <w:ilvl w:val="1"/>
                <w:numId w:val="1"/>
              </w:numPr>
              <w:ind w:left="601" w:hanging="601"/>
            </w:pPr>
            <w:r w:rsidRPr="00A90BA6">
              <w:rPr>
                <w:rFonts w:cs="Arial"/>
                <w:color w:val="000000"/>
              </w:rPr>
              <w:t xml:space="preserve">Has any director/partner ever been bankrupt or subject to an arrangement with creditors or ever been the proprietor, partner or director of a business subject to any formal insolvency procedure such as receivership, liquidation, or administration, or </w:t>
            </w:r>
            <w:r w:rsidRPr="00A90BA6">
              <w:rPr>
                <w:rFonts w:cs="Arial"/>
                <w:color w:val="000000"/>
              </w:rPr>
              <w:lastRenderedPageBreak/>
              <w:t>subject to an arrangement with its creditors</w:t>
            </w:r>
          </w:p>
        </w:tc>
        <w:tc>
          <w:tcPr>
            <w:tcW w:w="3770" w:type="dxa"/>
          </w:tcPr>
          <w:p w:rsidR="00301759" w:rsidRPr="002E2BAE" w:rsidRDefault="00301759" w:rsidP="009167BF">
            <w:pPr>
              <w:ind w:left="33"/>
              <w:rPr>
                <w:i/>
              </w:rPr>
            </w:pPr>
            <w:r>
              <w:rPr>
                <w:i/>
              </w:rPr>
              <w:lastRenderedPageBreak/>
              <w:t>No</w:t>
            </w:r>
          </w:p>
        </w:tc>
      </w:tr>
      <w:tr w:rsidR="00301759">
        <w:tc>
          <w:tcPr>
            <w:tcW w:w="6804" w:type="dxa"/>
            <w:gridSpan w:val="2"/>
            <w:shd w:val="clear" w:color="auto" w:fill="FFFFFF" w:themeFill="background1"/>
          </w:tcPr>
          <w:p w:rsidR="00301759" w:rsidRPr="00301759" w:rsidRDefault="00301759" w:rsidP="00301759">
            <w:pPr>
              <w:pStyle w:val="ListParagraph"/>
              <w:numPr>
                <w:ilvl w:val="1"/>
                <w:numId w:val="1"/>
              </w:numPr>
              <w:ind w:left="601" w:hanging="601"/>
            </w:pPr>
            <w:r w:rsidRPr="00A90BA6">
              <w:rPr>
                <w:rFonts w:cs="Arial"/>
                <w:color w:val="000000"/>
              </w:rPr>
              <w:lastRenderedPageBreak/>
              <w:t>Has any director/partner ever been the proprietor, partner or director of a business that has been requested to repay a grant under any government scheme?</w:t>
            </w:r>
          </w:p>
        </w:tc>
        <w:tc>
          <w:tcPr>
            <w:tcW w:w="3770" w:type="dxa"/>
          </w:tcPr>
          <w:p w:rsidR="00301759" w:rsidRPr="002E2BAE" w:rsidRDefault="00301759" w:rsidP="009167BF">
            <w:pPr>
              <w:ind w:left="33"/>
              <w:rPr>
                <w:i/>
              </w:rPr>
            </w:pPr>
            <w:r>
              <w:rPr>
                <w:i/>
              </w:rPr>
              <w:t>No</w:t>
            </w:r>
          </w:p>
        </w:tc>
      </w:tr>
      <w:tr w:rsidR="00301759">
        <w:tc>
          <w:tcPr>
            <w:tcW w:w="10574" w:type="dxa"/>
            <w:gridSpan w:val="3"/>
            <w:shd w:val="clear" w:color="auto" w:fill="FFFFFF" w:themeFill="background1"/>
          </w:tcPr>
          <w:p w:rsidR="00301759" w:rsidRPr="00301759" w:rsidRDefault="00301759" w:rsidP="009167BF">
            <w:pPr>
              <w:ind w:left="33"/>
              <w:rPr>
                <w:rFonts w:cs="Arial"/>
                <w:bCs/>
              </w:rPr>
            </w:pPr>
          </w:p>
          <w:p w:rsidR="00301759" w:rsidRPr="00301759" w:rsidRDefault="00301759" w:rsidP="009167BF">
            <w:pPr>
              <w:ind w:left="33"/>
              <w:rPr>
                <w:rFonts w:cs="Arial"/>
              </w:rPr>
            </w:pPr>
            <w:r w:rsidRPr="00301759">
              <w:rPr>
                <w:rFonts w:cs="Arial"/>
                <w:bCs/>
              </w:rPr>
              <w:t xml:space="preserve">If the answer is “yes” to any of these questions </w:t>
            </w:r>
            <w:r w:rsidRPr="00301759">
              <w:rPr>
                <w:rFonts w:cs="Arial"/>
              </w:rPr>
              <w:t>please give details on a separate sheet of paper of the person(s) and business(es) and details of the circumstances. This does not necessarily affect your chances of being awarded SELEP funding.</w:t>
            </w:r>
          </w:p>
          <w:p w:rsidR="00301759" w:rsidRPr="006408A0" w:rsidRDefault="00301759" w:rsidP="009167BF">
            <w:pPr>
              <w:ind w:left="33"/>
            </w:pPr>
          </w:p>
        </w:tc>
      </w:tr>
      <w:tr w:rsidR="00301759">
        <w:tc>
          <w:tcPr>
            <w:tcW w:w="10574" w:type="dxa"/>
            <w:gridSpan w:val="3"/>
            <w:shd w:val="clear" w:color="auto" w:fill="FFFFFF" w:themeFill="background1"/>
          </w:tcPr>
          <w:p w:rsidR="00301759" w:rsidRDefault="00301759" w:rsidP="00301759">
            <w:pPr>
              <w:pStyle w:val="NoSpacing"/>
            </w:pPr>
          </w:p>
          <w:p w:rsidR="00301759" w:rsidRDefault="00301759" w:rsidP="00301759">
            <w:pPr>
              <w:pStyle w:val="NoSpacing"/>
            </w:pPr>
            <w:r w:rsidRPr="00A90BA6">
              <w:t>I am content for information supplied here to be stored electronically and shared in confidence with other public sector bodies, who may be involved in considering the</w:t>
            </w:r>
            <w:r>
              <w:t xml:space="preserve"> business</w:t>
            </w:r>
            <w:r w:rsidRPr="00A90BA6">
              <w:t xml:space="preserve"> case.</w:t>
            </w:r>
          </w:p>
          <w:p w:rsidR="00301759" w:rsidRPr="00A90BA6" w:rsidRDefault="00301759" w:rsidP="00301759">
            <w:pPr>
              <w:pStyle w:val="NoSpacing"/>
            </w:pPr>
          </w:p>
          <w:p w:rsidR="00301759" w:rsidRPr="00A90BA6" w:rsidRDefault="00301759" w:rsidP="00301759">
            <w:pPr>
              <w:pStyle w:val="NoSpacing"/>
              <w:rPr>
                <w:b/>
              </w:rPr>
            </w:pPr>
            <w:r w:rsidRPr="00A90BA6">
              <w:rPr>
                <w:color w:val="000000"/>
              </w:rPr>
              <w:t xml:space="preserve">I understand that if I give information that is incorrect or incomplete, </w:t>
            </w:r>
            <w:r>
              <w:rPr>
                <w:color w:val="000000"/>
              </w:rPr>
              <w:t>funding</w:t>
            </w:r>
            <w:r w:rsidRPr="00A90BA6">
              <w:rPr>
                <w:color w:val="000000"/>
              </w:rPr>
              <w:t xml:space="preserve"> may be withheld or reclaimed and action taken against me. I declare that the information I have given on this form is correct and complete. I also declare that, except as otherwise stated on this form, I have not started the project which forms the basis of this application and no expenditure has been committed or defrayed on it. I understand that any offer may be publicised by means of a press release giving brief details of the project and the grant amount.</w:t>
            </w:r>
          </w:p>
          <w:p w:rsidR="00301759" w:rsidRPr="00301759" w:rsidRDefault="00301759" w:rsidP="009167BF">
            <w:pPr>
              <w:ind w:left="33"/>
              <w:rPr>
                <w:rFonts w:cs="Arial"/>
                <w:bCs/>
              </w:rPr>
            </w:pPr>
          </w:p>
        </w:tc>
      </w:tr>
      <w:tr w:rsidR="00301759">
        <w:tc>
          <w:tcPr>
            <w:tcW w:w="5245" w:type="dxa"/>
            <w:shd w:val="clear" w:color="auto" w:fill="000000" w:themeFill="text1"/>
          </w:tcPr>
          <w:p w:rsidR="00301759" w:rsidRPr="0087043B" w:rsidRDefault="00301759" w:rsidP="00301759">
            <w:pPr>
              <w:pStyle w:val="ListParagraph"/>
              <w:numPr>
                <w:ilvl w:val="1"/>
                <w:numId w:val="1"/>
              </w:numPr>
              <w:ind w:left="601" w:hanging="601"/>
              <w:rPr>
                <w:color w:val="FFFFFF" w:themeColor="background1"/>
              </w:rPr>
            </w:pPr>
            <w:r w:rsidRPr="0087043B">
              <w:rPr>
                <w:color w:val="FFFFFF" w:themeColor="background1"/>
              </w:rPr>
              <w:t xml:space="preserve">Signature of Applicant </w:t>
            </w:r>
          </w:p>
        </w:tc>
        <w:tc>
          <w:tcPr>
            <w:tcW w:w="5329" w:type="dxa"/>
            <w:gridSpan w:val="2"/>
          </w:tcPr>
          <w:p w:rsidR="00301759" w:rsidRDefault="00301759" w:rsidP="009167BF">
            <w:pPr>
              <w:ind w:left="33"/>
            </w:pPr>
          </w:p>
          <w:p w:rsidR="00301759" w:rsidRPr="006408A0" w:rsidRDefault="007F1B51" w:rsidP="009167BF">
            <w:pPr>
              <w:ind w:left="33"/>
            </w:pPr>
            <w:r>
              <w:t>A.Lewis</w:t>
            </w:r>
          </w:p>
        </w:tc>
      </w:tr>
      <w:tr w:rsidR="00301759">
        <w:tc>
          <w:tcPr>
            <w:tcW w:w="5245" w:type="dxa"/>
            <w:shd w:val="clear" w:color="auto" w:fill="000000" w:themeFill="text1"/>
          </w:tcPr>
          <w:p w:rsidR="00301759" w:rsidRPr="0087043B" w:rsidRDefault="00301759" w:rsidP="00301759">
            <w:pPr>
              <w:pStyle w:val="ListParagraph"/>
              <w:numPr>
                <w:ilvl w:val="1"/>
                <w:numId w:val="1"/>
              </w:numPr>
              <w:ind w:left="601" w:hanging="601"/>
              <w:rPr>
                <w:color w:val="FFFFFF" w:themeColor="background1"/>
              </w:rPr>
            </w:pPr>
            <w:r w:rsidRPr="0087043B">
              <w:rPr>
                <w:color w:val="FFFFFF" w:themeColor="background1"/>
              </w:rPr>
              <w:t>Print Full Name</w:t>
            </w:r>
          </w:p>
        </w:tc>
        <w:tc>
          <w:tcPr>
            <w:tcW w:w="5329" w:type="dxa"/>
            <w:gridSpan w:val="2"/>
          </w:tcPr>
          <w:p w:rsidR="00301759" w:rsidRDefault="007F1B51" w:rsidP="009167BF">
            <w:pPr>
              <w:ind w:left="33"/>
            </w:pPr>
            <w:r>
              <w:t>Andrew Lewis</w:t>
            </w:r>
          </w:p>
          <w:p w:rsidR="00301759" w:rsidRPr="006408A0" w:rsidRDefault="00301759" w:rsidP="009167BF">
            <w:pPr>
              <w:ind w:left="33"/>
            </w:pPr>
          </w:p>
        </w:tc>
      </w:tr>
      <w:tr w:rsidR="00301759">
        <w:tc>
          <w:tcPr>
            <w:tcW w:w="5245" w:type="dxa"/>
            <w:shd w:val="clear" w:color="auto" w:fill="000000" w:themeFill="text1"/>
          </w:tcPr>
          <w:p w:rsidR="00301759" w:rsidRPr="0087043B" w:rsidRDefault="00301759" w:rsidP="00301759">
            <w:pPr>
              <w:pStyle w:val="ListParagraph"/>
              <w:numPr>
                <w:ilvl w:val="1"/>
                <w:numId w:val="1"/>
              </w:numPr>
              <w:ind w:left="601" w:hanging="601"/>
              <w:rPr>
                <w:color w:val="FFFFFF" w:themeColor="background1"/>
              </w:rPr>
            </w:pPr>
            <w:r w:rsidRPr="0087043B">
              <w:rPr>
                <w:color w:val="FFFFFF" w:themeColor="background1"/>
              </w:rPr>
              <w:t>Designation</w:t>
            </w:r>
          </w:p>
        </w:tc>
        <w:tc>
          <w:tcPr>
            <w:tcW w:w="5329" w:type="dxa"/>
            <w:gridSpan w:val="2"/>
          </w:tcPr>
          <w:p w:rsidR="00301759" w:rsidRDefault="00301759" w:rsidP="009167BF">
            <w:pPr>
              <w:ind w:left="33"/>
            </w:pPr>
          </w:p>
          <w:p w:rsidR="00301759" w:rsidRPr="006408A0" w:rsidRDefault="007F1B51" w:rsidP="009167BF">
            <w:pPr>
              <w:ind w:left="33"/>
            </w:pPr>
            <w:r>
              <w:t>Corporate Director for Place</w:t>
            </w:r>
          </w:p>
        </w:tc>
      </w:tr>
      <w:tr w:rsidR="00301759">
        <w:tc>
          <w:tcPr>
            <w:tcW w:w="5245" w:type="dxa"/>
            <w:shd w:val="clear" w:color="auto" w:fill="000000" w:themeFill="text1"/>
          </w:tcPr>
          <w:p w:rsidR="00301759" w:rsidRPr="0087043B" w:rsidRDefault="00301759" w:rsidP="00301759">
            <w:pPr>
              <w:pStyle w:val="ListParagraph"/>
              <w:numPr>
                <w:ilvl w:val="1"/>
                <w:numId w:val="1"/>
              </w:numPr>
              <w:ind w:left="601" w:hanging="601"/>
              <w:rPr>
                <w:color w:val="FFFFFF" w:themeColor="background1"/>
              </w:rPr>
            </w:pPr>
            <w:r w:rsidRPr="0087043B">
              <w:rPr>
                <w:color w:val="FFFFFF" w:themeColor="background1"/>
              </w:rPr>
              <w:t>Date</w:t>
            </w:r>
          </w:p>
        </w:tc>
        <w:tc>
          <w:tcPr>
            <w:tcW w:w="5329" w:type="dxa"/>
            <w:gridSpan w:val="2"/>
          </w:tcPr>
          <w:p w:rsidR="00301759" w:rsidRDefault="007F1B51" w:rsidP="009167BF">
            <w:pPr>
              <w:ind w:left="33"/>
            </w:pPr>
            <w:r>
              <w:t>29.1.15</w:t>
            </w:r>
          </w:p>
          <w:p w:rsidR="00301759" w:rsidRPr="006408A0" w:rsidRDefault="00301759" w:rsidP="009167BF">
            <w:pPr>
              <w:ind w:left="33"/>
            </w:pPr>
          </w:p>
        </w:tc>
      </w:tr>
    </w:tbl>
    <w:p w:rsidR="00B76664" w:rsidRDefault="00B76664" w:rsidP="00685C6D">
      <w:pPr>
        <w:spacing w:after="0" w:line="240" w:lineRule="auto"/>
      </w:pPr>
    </w:p>
    <w:p w:rsidR="00B61222" w:rsidRDefault="00B61222" w:rsidP="00685C6D">
      <w:pPr>
        <w:spacing w:after="0" w:line="240" w:lineRule="auto"/>
      </w:pPr>
    </w:p>
    <w:p w:rsidR="00B61222" w:rsidRDefault="00B61222" w:rsidP="00685C6D">
      <w:pPr>
        <w:spacing w:after="0" w:line="240" w:lineRule="auto"/>
      </w:pPr>
    </w:p>
    <w:sectPr w:rsidR="00B61222" w:rsidSect="00911976">
      <w:footerReference w:type="default" r:id="rId21"/>
      <w:pgSz w:w="11906" w:h="16838"/>
      <w:pgMar w:top="720" w:right="720" w:bottom="720" w:left="720" w:header="708" w:footer="708" w:gutter="0"/>
      <w:pgBorders w:offsetFrom="page">
        <w:left w:val="single" w:sz="18" w:space="24" w:color="FFFFFF" w:themeColor="background1"/>
        <w:bottom w:val="single" w:sz="18" w:space="24" w:color="FFFFFF" w:themeColor="background1"/>
        <w:right w:val="single" w:sz="18" w:space="24" w:color="FFFFFF" w:themeColor="background1"/>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4E40" w:rsidRDefault="00944E40" w:rsidP="00285CEE">
      <w:pPr>
        <w:spacing w:after="0" w:line="240" w:lineRule="auto"/>
      </w:pPr>
      <w:r>
        <w:separator/>
      </w:r>
    </w:p>
  </w:endnote>
  <w:endnote w:type="continuationSeparator" w:id="0">
    <w:p w:rsidR="00944E40" w:rsidRDefault="00944E40" w:rsidP="00285C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FuturaLtBT">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enturyGothic">
    <w:panose1 w:val="00000000000000000000"/>
    <w:charset w:val="00"/>
    <w:family w:val="swiss"/>
    <w:notTrueType/>
    <w:pitch w:val="default"/>
    <w:sig w:usb0="00000003" w:usb1="00000000" w:usb2="00000000" w:usb3="00000000" w:csb0="00000001" w:csb1="00000000"/>
  </w:font>
  <w:font w:name="CenturyGothic-Bold">
    <w:panose1 w:val="00000000000000000000"/>
    <w:charset w:val="00"/>
    <w:family w:val="swiss"/>
    <w:notTrueType/>
    <w:pitch w:val="default"/>
    <w:sig w:usb0="00000003" w:usb1="00000000" w:usb2="00000000" w:usb3="00000000" w:csb0="00000001" w:csb1="00000000"/>
  </w:font>
  <w:font w:name="FuturaMdBT,Italic">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 w:name="FSAlber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E40" w:rsidRPr="00285CEE" w:rsidRDefault="00944E40">
    <w:pPr>
      <w:pStyle w:val="Footer"/>
      <w:rPr>
        <w:color w:val="4BACC6" w:themeColor="accent5"/>
        <w:sz w:val="18"/>
      </w:rPr>
    </w:pPr>
    <w:r w:rsidRPr="00285CEE">
      <w:rPr>
        <w:color w:val="4BACC6" w:themeColor="accent5"/>
        <w:sz w:val="18"/>
      </w:rPr>
      <w:t>South East LEP Capital Project Business Case</w:t>
    </w:r>
  </w:p>
  <w:p w:rsidR="00944E40" w:rsidRPr="00285CEE" w:rsidRDefault="00944E40">
    <w:pPr>
      <w:pStyle w:val="Footer"/>
      <w:rPr>
        <w:color w:val="4BACC6" w:themeColor="accent5"/>
        <w:sz w:val="18"/>
      </w:rPr>
    </w:pPr>
    <w:r w:rsidRPr="00285CEE">
      <w:rPr>
        <w:color w:val="4BACC6" w:themeColor="accent5"/>
        <w:sz w:val="18"/>
      </w:rPr>
      <w:t xml:space="preserve">Page </w:t>
    </w:r>
    <w:r w:rsidR="00B7756F" w:rsidRPr="00B7756F">
      <w:fldChar w:fldCharType="begin"/>
    </w:r>
    <w:r>
      <w:instrText xml:space="preserve"> PAGE  \* Arabic  \* MERGEFORMAT </w:instrText>
    </w:r>
    <w:r w:rsidR="00B7756F" w:rsidRPr="00B7756F">
      <w:fldChar w:fldCharType="separate"/>
    </w:r>
    <w:r w:rsidR="007F1B51" w:rsidRPr="007F1B51">
      <w:rPr>
        <w:b/>
        <w:noProof/>
        <w:color w:val="4BACC6" w:themeColor="accent5"/>
        <w:sz w:val="18"/>
      </w:rPr>
      <w:t>47</w:t>
    </w:r>
    <w:r w:rsidR="00B7756F">
      <w:rPr>
        <w:b/>
        <w:noProof/>
        <w:color w:val="4BACC6" w:themeColor="accent5"/>
        <w:sz w:val="18"/>
      </w:rPr>
      <w:fldChar w:fldCharType="end"/>
    </w:r>
    <w:r w:rsidRPr="00285CEE">
      <w:rPr>
        <w:color w:val="4BACC6" w:themeColor="accent5"/>
        <w:sz w:val="18"/>
      </w:rPr>
      <w:t xml:space="preserve"> of </w:t>
    </w:r>
    <w:fldSimple w:instr=" NUMPAGES  \* Arabic  \* MERGEFORMAT ">
      <w:r w:rsidR="007F1B51" w:rsidRPr="007F1B51">
        <w:rPr>
          <w:b/>
          <w:noProof/>
          <w:color w:val="4BACC6" w:themeColor="accent5"/>
          <w:sz w:val="18"/>
        </w:rPr>
        <w:t>47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4E40" w:rsidRDefault="00944E40" w:rsidP="00285CEE">
      <w:pPr>
        <w:spacing w:after="0" w:line="240" w:lineRule="auto"/>
      </w:pPr>
      <w:r>
        <w:separator/>
      </w:r>
    </w:p>
  </w:footnote>
  <w:footnote w:type="continuationSeparator" w:id="0">
    <w:p w:rsidR="00944E40" w:rsidRDefault="00944E40" w:rsidP="00285CE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A2063DA8"/>
    <w:lvl w:ilvl="0">
      <w:start w:val="1"/>
      <w:numFmt w:val="decimal"/>
      <w:pStyle w:val="Heading1"/>
      <w:lvlText w:val="%1.0"/>
      <w:lvlJc w:val="left"/>
      <w:pPr>
        <w:tabs>
          <w:tab w:val="num" w:pos="720"/>
        </w:tabs>
        <w:ind w:left="0" w:firstLine="0"/>
      </w:pPr>
      <w:rPr>
        <w:rFonts w:hint="default"/>
      </w:rPr>
    </w:lvl>
    <w:lvl w:ilvl="1">
      <w:start w:val="1"/>
      <w:numFmt w:val="decimal"/>
      <w:pStyle w:val="Heading2"/>
      <w:lvlText w:val="%1.%2"/>
      <w:lvlJc w:val="left"/>
      <w:pPr>
        <w:tabs>
          <w:tab w:val="num" w:pos="1211"/>
        </w:tabs>
        <w:ind w:left="851" w:firstLine="0"/>
      </w:pPr>
      <w:rPr>
        <w:rFonts w:asciiTheme="minorHAnsi" w:hAnsiTheme="minorHAnsi" w:cstheme="minorHAnsi" w:hint="default"/>
        <w:sz w:val="22"/>
        <w:szCs w:val="22"/>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decimal"/>
      <w:pStyle w:val="Heading6"/>
      <w:lvlText w:val=".%6"/>
      <w:lvlJc w:val="left"/>
      <w:pPr>
        <w:tabs>
          <w:tab w:val="num" w:pos="0"/>
        </w:tabs>
        <w:ind w:left="0" w:firstLine="0"/>
      </w:pPr>
      <w:rPr>
        <w:rFonts w:hint="default"/>
      </w:rPr>
    </w:lvl>
    <w:lvl w:ilvl="6">
      <w:start w:val="1"/>
      <w:numFmt w:val="decimal"/>
      <w:pStyle w:val="Heading7"/>
      <w:lvlText w:val=".%6.%7"/>
      <w:lvlJc w:val="left"/>
      <w:pPr>
        <w:tabs>
          <w:tab w:val="num" w:pos="0"/>
        </w:tabs>
        <w:ind w:left="0" w:firstLine="0"/>
      </w:pPr>
      <w:rPr>
        <w:rFonts w:hint="default"/>
      </w:rPr>
    </w:lvl>
    <w:lvl w:ilvl="7">
      <w:start w:val="1"/>
      <w:numFmt w:val="decimal"/>
      <w:pStyle w:val="Heading8"/>
      <w:lvlText w:val=".%6.%7.%8"/>
      <w:lvlJc w:val="left"/>
      <w:pPr>
        <w:tabs>
          <w:tab w:val="num" w:pos="0"/>
        </w:tabs>
        <w:ind w:left="0" w:firstLine="0"/>
      </w:pPr>
      <w:rPr>
        <w:rFonts w:hint="default"/>
      </w:rPr>
    </w:lvl>
    <w:lvl w:ilvl="8">
      <w:start w:val="1"/>
      <w:numFmt w:val="decimal"/>
      <w:pStyle w:val="Heading9"/>
      <w:lvlText w:val=".%6.%7.%8.%9"/>
      <w:lvlJc w:val="left"/>
      <w:pPr>
        <w:tabs>
          <w:tab w:val="num" w:pos="0"/>
        </w:tabs>
        <w:ind w:left="0" w:firstLine="0"/>
      </w:pPr>
      <w:rPr>
        <w:rFonts w:hint="default"/>
      </w:rPr>
    </w:lvl>
  </w:abstractNum>
  <w:abstractNum w:abstractNumId="1">
    <w:nsid w:val="011A7592"/>
    <w:multiLevelType w:val="hybridMultilevel"/>
    <w:tmpl w:val="566CD1A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1C92C81"/>
    <w:multiLevelType w:val="hybridMultilevel"/>
    <w:tmpl w:val="2B1C16DA"/>
    <w:lvl w:ilvl="0" w:tplc="04090001">
      <w:start w:val="1"/>
      <w:numFmt w:val="bullet"/>
      <w:lvlText w:val=""/>
      <w:lvlJc w:val="left"/>
      <w:pPr>
        <w:ind w:left="393" w:hanging="360"/>
      </w:pPr>
      <w:rPr>
        <w:rFonts w:ascii="Symbol" w:hAnsi="Symbol" w:hint="default"/>
      </w:rPr>
    </w:lvl>
    <w:lvl w:ilvl="1" w:tplc="08090003" w:tentative="1">
      <w:start w:val="1"/>
      <w:numFmt w:val="bullet"/>
      <w:lvlText w:val="o"/>
      <w:lvlJc w:val="left"/>
      <w:pPr>
        <w:ind w:left="1113" w:hanging="360"/>
      </w:pPr>
      <w:rPr>
        <w:rFonts w:ascii="Courier New" w:hAnsi="Courier New" w:cs="Courier New" w:hint="default"/>
      </w:rPr>
    </w:lvl>
    <w:lvl w:ilvl="2" w:tplc="08090005" w:tentative="1">
      <w:start w:val="1"/>
      <w:numFmt w:val="bullet"/>
      <w:lvlText w:val=""/>
      <w:lvlJc w:val="left"/>
      <w:pPr>
        <w:ind w:left="1833" w:hanging="360"/>
      </w:pPr>
      <w:rPr>
        <w:rFonts w:ascii="Wingdings" w:hAnsi="Wingdings" w:hint="default"/>
      </w:rPr>
    </w:lvl>
    <w:lvl w:ilvl="3" w:tplc="08090001" w:tentative="1">
      <w:start w:val="1"/>
      <w:numFmt w:val="bullet"/>
      <w:lvlText w:val=""/>
      <w:lvlJc w:val="left"/>
      <w:pPr>
        <w:ind w:left="2553" w:hanging="360"/>
      </w:pPr>
      <w:rPr>
        <w:rFonts w:ascii="Symbol" w:hAnsi="Symbol" w:hint="default"/>
      </w:rPr>
    </w:lvl>
    <w:lvl w:ilvl="4" w:tplc="08090003" w:tentative="1">
      <w:start w:val="1"/>
      <w:numFmt w:val="bullet"/>
      <w:lvlText w:val="o"/>
      <w:lvlJc w:val="left"/>
      <w:pPr>
        <w:ind w:left="3273" w:hanging="360"/>
      </w:pPr>
      <w:rPr>
        <w:rFonts w:ascii="Courier New" w:hAnsi="Courier New" w:cs="Courier New" w:hint="default"/>
      </w:rPr>
    </w:lvl>
    <w:lvl w:ilvl="5" w:tplc="08090005" w:tentative="1">
      <w:start w:val="1"/>
      <w:numFmt w:val="bullet"/>
      <w:lvlText w:val=""/>
      <w:lvlJc w:val="left"/>
      <w:pPr>
        <w:ind w:left="3993" w:hanging="360"/>
      </w:pPr>
      <w:rPr>
        <w:rFonts w:ascii="Wingdings" w:hAnsi="Wingdings" w:hint="default"/>
      </w:rPr>
    </w:lvl>
    <w:lvl w:ilvl="6" w:tplc="08090001" w:tentative="1">
      <w:start w:val="1"/>
      <w:numFmt w:val="bullet"/>
      <w:lvlText w:val=""/>
      <w:lvlJc w:val="left"/>
      <w:pPr>
        <w:ind w:left="4713" w:hanging="360"/>
      </w:pPr>
      <w:rPr>
        <w:rFonts w:ascii="Symbol" w:hAnsi="Symbol" w:hint="default"/>
      </w:rPr>
    </w:lvl>
    <w:lvl w:ilvl="7" w:tplc="08090003" w:tentative="1">
      <w:start w:val="1"/>
      <w:numFmt w:val="bullet"/>
      <w:lvlText w:val="o"/>
      <w:lvlJc w:val="left"/>
      <w:pPr>
        <w:ind w:left="5433" w:hanging="360"/>
      </w:pPr>
      <w:rPr>
        <w:rFonts w:ascii="Courier New" w:hAnsi="Courier New" w:cs="Courier New" w:hint="default"/>
      </w:rPr>
    </w:lvl>
    <w:lvl w:ilvl="8" w:tplc="08090005" w:tentative="1">
      <w:start w:val="1"/>
      <w:numFmt w:val="bullet"/>
      <w:lvlText w:val=""/>
      <w:lvlJc w:val="left"/>
      <w:pPr>
        <w:ind w:left="6153" w:hanging="360"/>
      </w:pPr>
      <w:rPr>
        <w:rFonts w:ascii="Wingdings" w:hAnsi="Wingdings" w:hint="default"/>
      </w:rPr>
    </w:lvl>
  </w:abstractNum>
  <w:abstractNum w:abstractNumId="3">
    <w:nsid w:val="05860982"/>
    <w:multiLevelType w:val="multilevel"/>
    <w:tmpl w:val="187EDAA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06B5768F"/>
    <w:multiLevelType w:val="hybridMultilevel"/>
    <w:tmpl w:val="5BDA2568"/>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B254A8F"/>
    <w:multiLevelType w:val="hybridMultilevel"/>
    <w:tmpl w:val="17824F70"/>
    <w:lvl w:ilvl="0" w:tplc="B39C09EC">
      <w:start w:val="613"/>
      <w:numFmt w:val="bullet"/>
      <w:lvlText w:val="-"/>
      <w:lvlJc w:val="left"/>
      <w:pPr>
        <w:ind w:left="720" w:hanging="36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EEA4E9C"/>
    <w:multiLevelType w:val="hybridMultilevel"/>
    <w:tmpl w:val="E90AC0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EFD3634"/>
    <w:multiLevelType w:val="hybridMultilevel"/>
    <w:tmpl w:val="0764DD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0D03A24"/>
    <w:multiLevelType w:val="hybridMultilevel"/>
    <w:tmpl w:val="3AAE6E84"/>
    <w:lvl w:ilvl="0" w:tplc="EC02C04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12BB4A68"/>
    <w:multiLevelType w:val="multilevel"/>
    <w:tmpl w:val="95E2A508"/>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nsid w:val="17C04D39"/>
    <w:multiLevelType w:val="hybridMultilevel"/>
    <w:tmpl w:val="6C8469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1D2A1369"/>
    <w:multiLevelType w:val="hybridMultilevel"/>
    <w:tmpl w:val="CBD6877C"/>
    <w:lvl w:ilvl="0" w:tplc="04090001">
      <w:start w:val="1"/>
      <w:numFmt w:val="bullet"/>
      <w:lvlText w:val=""/>
      <w:lvlJc w:val="left"/>
      <w:pPr>
        <w:ind w:left="393" w:hanging="360"/>
      </w:pPr>
      <w:rPr>
        <w:rFonts w:ascii="Symbol" w:hAnsi="Symbol" w:hint="default"/>
      </w:rPr>
    </w:lvl>
    <w:lvl w:ilvl="1" w:tplc="08090003" w:tentative="1">
      <w:start w:val="1"/>
      <w:numFmt w:val="bullet"/>
      <w:lvlText w:val="o"/>
      <w:lvlJc w:val="left"/>
      <w:pPr>
        <w:ind w:left="1113" w:hanging="360"/>
      </w:pPr>
      <w:rPr>
        <w:rFonts w:ascii="Courier New" w:hAnsi="Courier New" w:cs="Courier New" w:hint="default"/>
      </w:rPr>
    </w:lvl>
    <w:lvl w:ilvl="2" w:tplc="08090005" w:tentative="1">
      <w:start w:val="1"/>
      <w:numFmt w:val="bullet"/>
      <w:lvlText w:val=""/>
      <w:lvlJc w:val="left"/>
      <w:pPr>
        <w:ind w:left="1833" w:hanging="360"/>
      </w:pPr>
      <w:rPr>
        <w:rFonts w:ascii="Wingdings" w:hAnsi="Wingdings" w:hint="default"/>
      </w:rPr>
    </w:lvl>
    <w:lvl w:ilvl="3" w:tplc="08090001" w:tentative="1">
      <w:start w:val="1"/>
      <w:numFmt w:val="bullet"/>
      <w:lvlText w:val=""/>
      <w:lvlJc w:val="left"/>
      <w:pPr>
        <w:ind w:left="2553" w:hanging="360"/>
      </w:pPr>
      <w:rPr>
        <w:rFonts w:ascii="Symbol" w:hAnsi="Symbol" w:hint="default"/>
      </w:rPr>
    </w:lvl>
    <w:lvl w:ilvl="4" w:tplc="08090003" w:tentative="1">
      <w:start w:val="1"/>
      <w:numFmt w:val="bullet"/>
      <w:lvlText w:val="o"/>
      <w:lvlJc w:val="left"/>
      <w:pPr>
        <w:ind w:left="3273" w:hanging="360"/>
      </w:pPr>
      <w:rPr>
        <w:rFonts w:ascii="Courier New" w:hAnsi="Courier New" w:cs="Courier New" w:hint="default"/>
      </w:rPr>
    </w:lvl>
    <w:lvl w:ilvl="5" w:tplc="08090005" w:tentative="1">
      <w:start w:val="1"/>
      <w:numFmt w:val="bullet"/>
      <w:lvlText w:val=""/>
      <w:lvlJc w:val="left"/>
      <w:pPr>
        <w:ind w:left="3993" w:hanging="360"/>
      </w:pPr>
      <w:rPr>
        <w:rFonts w:ascii="Wingdings" w:hAnsi="Wingdings" w:hint="default"/>
      </w:rPr>
    </w:lvl>
    <w:lvl w:ilvl="6" w:tplc="08090001" w:tentative="1">
      <w:start w:val="1"/>
      <w:numFmt w:val="bullet"/>
      <w:lvlText w:val=""/>
      <w:lvlJc w:val="left"/>
      <w:pPr>
        <w:ind w:left="4713" w:hanging="360"/>
      </w:pPr>
      <w:rPr>
        <w:rFonts w:ascii="Symbol" w:hAnsi="Symbol" w:hint="default"/>
      </w:rPr>
    </w:lvl>
    <w:lvl w:ilvl="7" w:tplc="08090003" w:tentative="1">
      <w:start w:val="1"/>
      <w:numFmt w:val="bullet"/>
      <w:lvlText w:val="o"/>
      <w:lvlJc w:val="left"/>
      <w:pPr>
        <w:ind w:left="5433" w:hanging="360"/>
      </w:pPr>
      <w:rPr>
        <w:rFonts w:ascii="Courier New" w:hAnsi="Courier New" w:cs="Courier New" w:hint="default"/>
      </w:rPr>
    </w:lvl>
    <w:lvl w:ilvl="8" w:tplc="08090005" w:tentative="1">
      <w:start w:val="1"/>
      <w:numFmt w:val="bullet"/>
      <w:lvlText w:val=""/>
      <w:lvlJc w:val="left"/>
      <w:pPr>
        <w:ind w:left="6153" w:hanging="360"/>
      </w:pPr>
      <w:rPr>
        <w:rFonts w:ascii="Wingdings" w:hAnsi="Wingdings" w:hint="default"/>
      </w:rPr>
    </w:lvl>
  </w:abstractNum>
  <w:abstractNum w:abstractNumId="12">
    <w:nsid w:val="1DF31C39"/>
    <w:multiLevelType w:val="hybridMultilevel"/>
    <w:tmpl w:val="D988D9AA"/>
    <w:lvl w:ilvl="0" w:tplc="1AD4915C">
      <w:start w:val="1"/>
      <w:numFmt w:val="bullet"/>
      <w:lvlText w:val="-"/>
      <w:lvlJc w:val="left"/>
      <w:pPr>
        <w:ind w:left="393" w:hanging="360"/>
      </w:pPr>
      <w:rPr>
        <w:rFonts w:ascii="Calibri" w:eastAsiaTheme="minorHAnsi" w:hAnsi="Calibri" w:cstheme="minorBidi" w:hint="default"/>
      </w:rPr>
    </w:lvl>
    <w:lvl w:ilvl="1" w:tplc="08090003" w:tentative="1">
      <w:start w:val="1"/>
      <w:numFmt w:val="bullet"/>
      <w:lvlText w:val="o"/>
      <w:lvlJc w:val="left"/>
      <w:pPr>
        <w:ind w:left="1113" w:hanging="360"/>
      </w:pPr>
      <w:rPr>
        <w:rFonts w:ascii="Courier New" w:hAnsi="Courier New" w:cs="Courier New" w:hint="default"/>
      </w:rPr>
    </w:lvl>
    <w:lvl w:ilvl="2" w:tplc="08090005" w:tentative="1">
      <w:start w:val="1"/>
      <w:numFmt w:val="bullet"/>
      <w:lvlText w:val=""/>
      <w:lvlJc w:val="left"/>
      <w:pPr>
        <w:ind w:left="1833" w:hanging="360"/>
      </w:pPr>
      <w:rPr>
        <w:rFonts w:ascii="Wingdings" w:hAnsi="Wingdings" w:hint="default"/>
      </w:rPr>
    </w:lvl>
    <w:lvl w:ilvl="3" w:tplc="08090001" w:tentative="1">
      <w:start w:val="1"/>
      <w:numFmt w:val="bullet"/>
      <w:lvlText w:val=""/>
      <w:lvlJc w:val="left"/>
      <w:pPr>
        <w:ind w:left="2553" w:hanging="360"/>
      </w:pPr>
      <w:rPr>
        <w:rFonts w:ascii="Symbol" w:hAnsi="Symbol" w:hint="default"/>
      </w:rPr>
    </w:lvl>
    <w:lvl w:ilvl="4" w:tplc="08090003" w:tentative="1">
      <w:start w:val="1"/>
      <w:numFmt w:val="bullet"/>
      <w:lvlText w:val="o"/>
      <w:lvlJc w:val="left"/>
      <w:pPr>
        <w:ind w:left="3273" w:hanging="360"/>
      </w:pPr>
      <w:rPr>
        <w:rFonts w:ascii="Courier New" w:hAnsi="Courier New" w:cs="Courier New" w:hint="default"/>
      </w:rPr>
    </w:lvl>
    <w:lvl w:ilvl="5" w:tplc="08090005" w:tentative="1">
      <w:start w:val="1"/>
      <w:numFmt w:val="bullet"/>
      <w:lvlText w:val=""/>
      <w:lvlJc w:val="left"/>
      <w:pPr>
        <w:ind w:left="3993" w:hanging="360"/>
      </w:pPr>
      <w:rPr>
        <w:rFonts w:ascii="Wingdings" w:hAnsi="Wingdings" w:hint="default"/>
      </w:rPr>
    </w:lvl>
    <w:lvl w:ilvl="6" w:tplc="08090001" w:tentative="1">
      <w:start w:val="1"/>
      <w:numFmt w:val="bullet"/>
      <w:lvlText w:val=""/>
      <w:lvlJc w:val="left"/>
      <w:pPr>
        <w:ind w:left="4713" w:hanging="360"/>
      </w:pPr>
      <w:rPr>
        <w:rFonts w:ascii="Symbol" w:hAnsi="Symbol" w:hint="default"/>
      </w:rPr>
    </w:lvl>
    <w:lvl w:ilvl="7" w:tplc="08090003" w:tentative="1">
      <w:start w:val="1"/>
      <w:numFmt w:val="bullet"/>
      <w:lvlText w:val="o"/>
      <w:lvlJc w:val="left"/>
      <w:pPr>
        <w:ind w:left="5433" w:hanging="360"/>
      </w:pPr>
      <w:rPr>
        <w:rFonts w:ascii="Courier New" w:hAnsi="Courier New" w:cs="Courier New" w:hint="default"/>
      </w:rPr>
    </w:lvl>
    <w:lvl w:ilvl="8" w:tplc="08090005" w:tentative="1">
      <w:start w:val="1"/>
      <w:numFmt w:val="bullet"/>
      <w:lvlText w:val=""/>
      <w:lvlJc w:val="left"/>
      <w:pPr>
        <w:ind w:left="6153" w:hanging="360"/>
      </w:pPr>
      <w:rPr>
        <w:rFonts w:ascii="Wingdings" w:hAnsi="Wingdings" w:hint="default"/>
      </w:rPr>
    </w:lvl>
  </w:abstractNum>
  <w:abstractNum w:abstractNumId="13">
    <w:nsid w:val="24BE5676"/>
    <w:multiLevelType w:val="hybridMultilevel"/>
    <w:tmpl w:val="CEBEDDCA"/>
    <w:lvl w:ilvl="0" w:tplc="AD922788">
      <w:start w:val="1"/>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2DF96B68"/>
    <w:multiLevelType w:val="hybridMultilevel"/>
    <w:tmpl w:val="98EE85C4"/>
    <w:lvl w:ilvl="0" w:tplc="04090001">
      <w:start w:val="1"/>
      <w:numFmt w:val="bullet"/>
      <w:lvlText w:val=""/>
      <w:lvlJc w:val="left"/>
      <w:pPr>
        <w:ind w:left="427" w:hanging="360"/>
      </w:pPr>
      <w:rPr>
        <w:rFonts w:ascii="Symbol" w:hAnsi="Symbol" w:hint="default"/>
      </w:rPr>
    </w:lvl>
    <w:lvl w:ilvl="1" w:tplc="08090003" w:tentative="1">
      <w:start w:val="1"/>
      <w:numFmt w:val="bullet"/>
      <w:lvlText w:val="o"/>
      <w:lvlJc w:val="left"/>
      <w:pPr>
        <w:ind w:left="1147" w:hanging="360"/>
      </w:pPr>
      <w:rPr>
        <w:rFonts w:ascii="Courier New" w:hAnsi="Courier New" w:cs="Courier New" w:hint="default"/>
      </w:rPr>
    </w:lvl>
    <w:lvl w:ilvl="2" w:tplc="08090005" w:tentative="1">
      <w:start w:val="1"/>
      <w:numFmt w:val="bullet"/>
      <w:lvlText w:val=""/>
      <w:lvlJc w:val="left"/>
      <w:pPr>
        <w:ind w:left="1867" w:hanging="360"/>
      </w:pPr>
      <w:rPr>
        <w:rFonts w:ascii="Wingdings" w:hAnsi="Wingdings" w:hint="default"/>
      </w:rPr>
    </w:lvl>
    <w:lvl w:ilvl="3" w:tplc="08090001" w:tentative="1">
      <w:start w:val="1"/>
      <w:numFmt w:val="bullet"/>
      <w:lvlText w:val=""/>
      <w:lvlJc w:val="left"/>
      <w:pPr>
        <w:ind w:left="2587" w:hanging="360"/>
      </w:pPr>
      <w:rPr>
        <w:rFonts w:ascii="Symbol" w:hAnsi="Symbol" w:hint="default"/>
      </w:rPr>
    </w:lvl>
    <w:lvl w:ilvl="4" w:tplc="08090003" w:tentative="1">
      <w:start w:val="1"/>
      <w:numFmt w:val="bullet"/>
      <w:lvlText w:val="o"/>
      <w:lvlJc w:val="left"/>
      <w:pPr>
        <w:ind w:left="3307" w:hanging="360"/>
      </w:pPr>
      <w:rPr>
        <w:rFonts w:ascii="Courier New" w:hAnsi="Courier New" w:cs="Courier New" w:hint="default"/>
      </w:rPr>
    </w:lvl>
    <w:lvl w:ilvl="5" w:tplc="08090005" w:tentative="1">
      <w:start w:val="1"/>
      <w:numFmt w:val="bullet"/>
      <w:lvlText w:val=""/>
      <w:lvlJc w:val="left"/>
      <w:pPr>
        <w:ind w:left="4027" w:hanging="360"/>
      </w:pPr>
      <w:rPr>
        <w:rFonts w:ascii="Wingdings" w:hAnsi="Wingdings" w:hint="default"/>
      </w:rPr>
    </w:lvl>
    <w:lvl w:ilvl="6" w:tplc="08090001" w:tentative="1">
      <w:start w:val="1"/>
      <w:numFmt w:val="bullet"/>
      <w:lvlText w:val=""/>
      <w:lvlJc w:val="left"/>
      <w:pPr>
        <w:ind w:left="4747" w:hanging="360"/>
      </w:pPr>
      <w:rPr>
        <w:rFonts w:ascii="Symbol" w:hAnsi="Symbol" w:hint="default"/>
      </w:rPr>
    </w:lvl>
    <w:lvl w:ilvl="7" w:tplc="08090003" w:tentative="1">
      <w:start w:val="1"/>
      <w:numFmt w:val="bullet"/>
      <w:lvlText w:val="o"/>
      <w:lvlJc w:val="left"/>
      <w:pPr>
        <w:ind w:left="5467" w:hanging="360"/>
      </w:pPr>
      <w:rPr>
        <w:rFonts w:ascii="Courier New" w:hAnsi="Courier New" w:cs="Courier New" w:hint="default"/>
      </w:rPr>
    </w:lvl>
    <w:lvl w:ilvl="8" w:tplc="08090005" w:tentative="1">
      <w:start w:val="1"/>
      <w:numFmt w:val="bullet"/>
      <w:lvlText w:val=""/>
      <w:lvlJc w:val="left"/>
      <w:pPr>
        <w:ind w:left="6187" w:hanging="360"/>
      </w:pPr>
      <w:rPr>
        <w:rFonts w:ascii="Wingdings" w:hAnsi="Wingdings" w:hint="default"/>
      </w:rPr>
    </w:lvl>
  </w:abstractNum>
  <w:abstractNum w:abstractNumId="15">
    <w:nsid w:val="2ED54CE5"/>
    <w:multiLevelType w:val="hybridMultilevel"/>
    <w:tmpl w:val="1CA42CF0"/>
    <w:lvl w:ilvl="0" w:tplc="1CF8A660">
      <w:start w:val="1"/>
      <w:numFmt w:val="decimal"/>
      <w:lvlText w:val="%1)"/>
      <w:lvlJc w:val="left"/>
      <w:pPr>
        <w:ind w:left="427" w:hanging="360"/>
      </w:pPr>
      <w:rPr>
        <w:rFonts w:cstheme="minorBidi" w:hint="default"/>
        <w:color w:val="auto"/>
      </w:rPr>
    </w:lvl>
    <w:lvl w:ilvl="1" w:tplc="08090019" w:tentative="1">
      <w:start w:val="1"/>
      <w:numFmt w:val="lowerLetter"/>
      <w:lvlText w:val="%2."/>
      <w:lvlJc w:val="left"/>
      <w:pPr>
        <w:ind w:left="1147" w:hanging="360"/>
      </w:pPr>
    </w:lvl>
    <w:lvl w:ilvl="2" w:tplc="0809001B" w:tentative="1">
      <w:start w:val="1"/>
      <w:numFmt w:val="lowerRoman"/>
      <w:lvlText w:val="%3."/>
      <w:lvlJc w:val="right"/>
      <w:pPr>
        <w:ind w:left="1867" w:hanging="180"/>
      </w:pPr>
    </w:lvl>
    <w:lvl w:ilvl="3" w:tplc="0809000F" w:tentative="1">
      <w:start w:val="1"/>
      <w:numFmt w:val="decimal"/>
      <w:lvlText w:val="%4."/>
      <w:lvlJc w:val="left"/>
      <w:pPr>
        <w:ind w:left="2587" w:hanging="360"/>
      </w:pPr>
    </w:lvl>
    <w:lvl w:ilvl="4" w:tplc="08090019" w:tentative="1">
      <w:start w:val="1"/>
      <w:numFmt w:val="lowerLetter"/>
      <w:lvlText w:val="%5."/>
      <w:lvlJc w:val="left"/>
      <w:pPr>
        <w:ind w:left="3307" w:hanging="360"/>
      </w:pPr>
    </w:lvl>
    <w:lvl w:ilvl="5" w:tplc="0809001B" w:tentative="1">
      <w:start w:val="1"/>
      <w:numFmt w:val="lowerRoman"/>
      <w:lvlText w:val="%6."/>
      <w:lvlJc w:val="right"/>
      <w:pPr>
        <w:ind w:left="4027" w:hanging="180"/>
      </w:pPr>
    </w:lvl>
    <w:lvl w:ilvl="6" w:tplc="0809000F" w:tentative="1">
      <w:start w:val="1"/>
      <w:numFmt w:val="decimal"/>
      <w:lvlText w:val="%7."/>
      <w:lvlJc w:val="left"/>
      <w:pPr>
        <w:ind w:left="4747" w:hanging="360"/>
      </w:pPr>
    </w:lvl>
    <w:lvl w:ilvl="7" w:tplc="08090019" w:tentative="1">
      <w:start w:val="1"/>
      <w:numFmt w:val="lowerLetter"/>
      <w:lvlText w:val="%8."/>
      <w:lvlJc w:val="left"/>
      <w:pPr>
        <w:ind w:left="5467" w:hanging="360"/>
      </w:pPr>
    </w:lvl>
    <w:lvl w:ilvl="8" w:tplc="0809001B" w:tentative="1">
      <w:start w:val="1"/>
      <w:numFmt w:val="lowerRoman"/>
      <w:lvlText w:val="%9."/>
      <w:lvlJc w:val="right"/>
      <w:pPr>
        <w:ind w:left="6187" w:hanging="180"/>
      </w:pPr>
    </w:lvl>
  </w:abstractNum>
  <w:abstractNum w:abstractNumId="16">
    <w:nsid w:val="313C7BD3"/>
    <w:multiLevelType w:val="hybridMultilevel"/>
    <w:tmpl w:val="634267E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36EC4A9D"/>
    <w:multiLevelType w:val="hybridMultilevel"/>
    <w:tmpl w:val="5602F8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376B3CDE"/>
    <w:multiLevelType w:val="hybridMultilevel"/>
    <w:tmpl w:val="9C9CA87A"/>
    <w:lvl w:ilvl="0" w:tplc="0409000F">
      <w:start w:val="1"/>
      <w:numFmt w:val="decimal"/>
      <w:lvlText w:val="%1."/>
      <w:lvlJc w:val="left"/>
      <w:pPr>
        <w:ind w:left="427" w:hanging="360"/>
      </w:pPr>
    </w:lvl>
    <w:lvl w:ilvl="1" w:tplc="08090019" w:tentative="1">
      <w:start w:val="1"/>
      <w:numFmt w:val="lowerLetter"/>
      <w:lvlText w:val="%2."/>
      <w:lvlJc w:val="left"/>
      <w:pPr>
        <w:ind w:left="1147" w:hanging="360"/>
      </w:pPr>
    </w:lvl>
    <w:lvl w:ilvl="2" w:tplc="0809001B" w:tentative="1">
      <w:start w:val="1"/>
      <w:numFmt w:val="lowerRoman"/>
      <w:lvlText w:val="%3."/>
      <w:lvlJc w:val="right"/>
      <w:pPr>
        <w:ind w:left="1867" w:hanging="180"/>
      </w:pPr>
    </w:lvl>
    <w:lvl w:ilvl="3" w:tplc="0809000F" w:tentative="1">
      <w:start w:val="1"/>
      <w:numFmt w:val="decimal"/>
      <w:lvlText w:val="%4."/>
      <w:lvlJc w:val="left"/>
      <w:pPr>
        <w:ind w:left="2587" w:hanging="360"/>
      </w:pPr>
    </w:lvl>
    <w:lvl w:ilvl="4" w:tplc="08090019" w:tentative="1">
      <w:start w:val="1"/>
      <w:numFmt w:val="lowerLetter"/>
      <w:lvlText w:val="%5."/>
      <w:lvlJc w:val="left"/>
      <w:pPr>
        <w:ind w:left="3307" w:hanging="360"/>
      </w:pPr>
    </w:lvl>
    <w:lvl w:ilvl="5" w:tplc="0809001B" w:tentative="1">
      <w:start w:val="1"/>
      <w:numFmt w:val="lowerRoman"/>
      <w:lvlText w:val="%6."/>
      <w:lvlJc w:val="right"/>
      <w:pPr>
        <w:ind w:left="4027" w:hanging="180"/>
      </w:pPr>
    </w:lvl>
    <w:lvl w:ilvl="6" w:tplc="0809000F" w:tentative="1">
      <w:start w:val="1"/>
      <w:numFmt w:val="decimal"/>
      <w:lvlText w:val="%7."/>
      <w:lvlJc w:val="left"/>
      <w:pPr>
        <w:ind w:left="4747" w:hanging="360"/>
      </w:pPr>
    </w:lvl>
    <w:lvl w:ilvl="7" w:tplc="08090019" w:tentative="1">
      <w:start w:val="1"/>
      <w:numFmt w:val="lowerLetter"/>
      <w:lvlText w:val="%8."/>
      <w:lvlJc w:val="left"/>
      <w:pPr>
        <w:ind w:left="5467" w:hanging="360"/>
      </w:pPr>
    </w:lvl>
    <w:lvl w:ilvl="8" w:tplc="0809001B" w:tentative="1">
      <w:start w:val="1"/>
      <w:numFmt w:val="lowerRoman"/>
      <w:lvlText w:val="%9."/>
      <w:lvlJc w:val="right"/>
      <w:pPr>
        <w:ind w:left="6187" w:hanging="180"/>
      </w:pPr>
    </w:lvl>
  </w:abstractNum>
  <w:abstractNum w:abstractNumId="19">
    <w:nsid w:val="3B950EFF"/>
    <w:multiLevelType w:val="hybridMultilevel"/>
    <w:tmpl w:val="08B45F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C303581"/>
    <w:multiLevelType w:val="hybridMultilevel"/>
    <w:tmpl w:val="DFF8B304"/>
    <w:lvl w:ilvl="0" w:tplc="E5CAF3C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E9B0CAE"/>
    <w:multiLevelType w:val="hybridMultilevel"/>
    <w:tmpl w:val="D87EE2CC"/>
    <w:lvl w:ilvl="0" w:tplc="C8226DEE">
      <w:start w:val="1"/>
      <w:numFmt w:val="bullet"/>
      <w:lvlText w:val="-"/>
      <w:lvlJc w:val="left"/>
      <w:pPr>
        <w:ind w:left="393" w:hanging="360"/>
      </w:pPr>
      <w:rPr>
        <w:rFonts w:ascii="Calibri" w:eastAsiaTheme="minorHAnsi" w:hAnsi="Calibri" w:cstheme="minorBidi" w:hint="default"/>
      </w:rPr>
    </w:lvl>
    <w:lvl w:ilvl="1" w:tplc="08090003" w:tentative="1">
      <w:start w:val="1"/>
      <w:numFmt w:val="bullet"/>
      <w:lvlText w:val="o"/>
      <w:lvlJc w:val="left"/>
      <w:pPr>
        <w:ind w:left="1113" w:hanging="360"/>
      </w:pPr>
      <w:rPr>
        <w:rFonts w:ascii="Courier New" w:hAnsi="Courier New" w:cs="Courier New" w:hint="default"/>
      </w:rPr>
    </w:lvl>
    <w:lvl w:ilvl="2" w:tplc="08090005" w:tentative="1">
      <w:start w:val="1"/>
      <w:numFmt w:val="bullet"/>
      <w:lvlText w:val=""/>
      <w:lvlJc w:val="left"/>
      <w:pPr>
        <w:ind w:left="1833" w:hanging="360"/>
      </w:pPr>
      <w:rPr>
        <w:rFonts w:ascii="Wingdings" w:hAnsi="Wingdings" w:hint="default"/>
      </w:rPr>
    </w:lvl>
    <w:lvl w:ilvl="3" w:tplc="08090001" w:tentative="1">
      <w:start w:val="1"/>
      <w:numFmt w:val="bullet"/>
      <w:lvlText w:val=""/>
      <w:lvlJc w:val="left"/>
      <w:pPr>
        <w:ind w:left="2553" w:hanging="360"/>
      </w:pPr>
      <w:rPr>
        <w:rFonts w:ascii="Symbol" w:hAnsi="Symbol" w:hint="default"/>
      </w:rPr>
    </w:lvl>
    <w:lvl w:ilvl="4" w:tplc="08090003" w:tentative="1">
      <w:start w:val="1"/>
      <w:numFmt w:val="bullet"/>
      <w:lvlText w:val="o"/>
      <w:lvlJc w:val="left"/>
      <w:pPr>
        <w:ind w:left="3273" w:hanging="360"/>
      </w:pPr>
      <w:rPr>
        <w:rFonts w:ascii="Courier New" w:hAnsi="Courier New" w:cs="Courier New" w:hint="default"/>
      </w:rPr>
    </w:lvl>
    <w:lvl w:ilvl="5" w:tplc="08090005" w:tentative="1">
      <w:start w:val="1"/>
      <w:numFmt w:val="bullet"/>
      <w:lvlText w:val=""/>
      <w:lvlJc w:val="left"/>
      <w:pPr>
        <w:ind w:left="3993" w:hanging="360"/>
      </w:pPr>
      <w:rPr>
        <w:rFonts w:ascii="Wingdings" w:hAnsi="Wingdings" w:hint="default"/>
      </w:rPr>
    </w:lvl>
    <w:lvl w:ilvl="6" w:tplc="08090001" w:tentative="1">
      <w:start w:val="1"/>
      <w:numFmt w:val="bullet"/>
      <w:lvlText w:val=""/>
      <w:lvlJc w:val="left"/>
      <w:pPr>
        <w:ind w:left="4713" w:hanging="360"/>
      </w:pPr>
      <w:rPr>
        <w:rFonts w:ascii="Symbol" w:hAnsi="Symbol" w:hint="default"/>
      </w:rPr>
    </w:lvl>
    <w:lvl w:ilvl="7" w:tplc="08090003" w:tentative="1">
      <w:start w:val="1"/>
      <w:numFmt w:val="bullet"/>
      <w:lvlText w:val="o"/>
      <w:lvlJc w:val="left"/>
      <w:pPr>
        <w:ind w:left="5433" w:hanging="360"/>
      </w:pPr>
      <w:rPr>
        <w:rFonts w:ascii="Courier New" w:hAnsi="Courier New" w:cs="Courier New" w:hint="default"/>
      </w:rPr>
    </w:lvl>
    <w:lvl w:ilvl="8" w:tplc="08090005" w:tentative="1">
      <w:start w:val="1"/>
      <w:numFmt w:val="bullet"/>
      <w:lvlText w:val=""/>
      <w:lvlJc w:val="left"/>
      <w:pPr>
        <w:ind w:left="6153" w:hanging="360"/>
      </w:pPr>
      <w:rPr>
        <w:rFonts w:ascii="Wingdings" w:hAnsi="Wingdings" w:hint="default"/>
      </w:rPr>
    </w:lvl>
  </w:abstractNum>
  <w:abstractNum w:abstractNumId="22">
    <w:nsid w:val="426C6A8B"/>
    <w:multiLevelType w:val="hybridMultilevel"/>
    <w:tmpl w:val="733ADE78"/>
    <w:lvl w:ilvl="0" w:tplc="6C6E2CBC">
      <w:start w:val="1"/>
      <w:numFmt w:val="decimal"/>
      <w:lvlText w:val="%1."/>
      <w:lvlJc w:val="left"/>
      <w:pPr>
        <w:ind w:left="393" w:hanging="36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23">
    <w:nsid w:val="4688137C"/>
    <w:multiLevelType w:val="hybridMultilevel"/>
    <w:tmpl w:val="5D202EB6"/>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474E4169"/>
    <w:multiLevelType w:val="hybridMultilevel"/>
    <w:tmpl w:val="E140EA08"/>
    <w:lvl w:ilvl="0" w:tplc="EE6079DC">
      <w:start w:val="1"/>
      <w:numFmt w:val="bullet"/>
      <w:lvlText w:val=""/>
      <w:lvlJc w:val="left"/>
      <w:pPr>
        <w:ind w:left="1800" w:hanging="360"/>
      </w:pPr>
      <w:rPr>
        <w:rFonts w:ascii="Symbol" w:hAnsi="Symbol" w:hint="default"/>
        <w:color w:val="1F497D"/>
      </w:rPr>
    </w:lvl>
    <w:lvl w:ilvl="1" w:tplc="08090003">
      <w:start w:val="1"/>
      <w:numFmt w:val="bullet"/>
      <w:lvlText w:val="o"/>
      <w:lvlJc w:val="left"/>
      <w:pPr>
        <w:ind w:left="2520" w:hanging="360"/>
      </w:pPr>
      <w:rPr>
        <w:rFonts w:ascii="Courier New" w:hAnsi="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nsid w:val="47E73F6A"/>
    <w:multiLevelType w:val="hybridMultilevel"/>
    <w:tmpl w:val="FC0CF54A"/>
    <w:lvl w:ilvl="0" w:tplc="04090001">
      <w:start w:val="1"/>
      <w:numFmt w:val="bullet"/>
      <w:lvlText w:val=""/>
      <w:lvlJc w:val="left"/>
      <w:pPr>
        <w:ind w:left="427" w:hanging="360"/>
      </w:pPr>
      <w:rPr>
        <w:rFonts w:ascii="Symbol" w:hAnsi="Symbol" w:hint="default"/>
      </w:rPr>
    </w:lvl>
    <w:lvl w:ilvl="1" w:tplc="08090003" w:tentative="1">
      <w:start w:val="1"/>
      <w:numFmt w:val="bullet"/>
      <w:lvlText w:val="o"/>
      <w:lvlJc w:val="left"/>
      <w:pPr>
        <w:ind w:left="1147" w:hanging="360"/>
      </w:pPr>
      <w:rPr>
        <w:rFonts w:ascii="Courier New" w:hAnsi="Courier New" w:cs="Courier New" w:hint="default"/>
      </w:rPr>
    </w:lvl>
    <w:lvl w:ilvl="2" w:tplc="08090005" w:tentative="1">
      <w:start w:val="1"/>
      <w:numFmt w:val="bullet"/>
      <w:lvlText w:val=""/>
      <w:lvlJc w:val="left"/>
      <w:pPr>
        <w:ind w:left="1867" w:hanging="360"/>
      </w:pPr>
      <w:rPr>
        <w:rFonts w:ascii="Wingdings" w:hAnsi="Wingdings" w:hint="default"/>
      </w:rPr>
    </w:lvl>
    <w:lvl w:ilvl="3" w:tplc="08090001" w:tentative="1">
      <w:start w:val="1"/>
      <w:numFmt w:val="bullet"/>
      <w:lvlText w:val=""/>
      <w:lvlJc w:val="left"/>
      <w:pPr>
        <w:ind w:left="2587" w:hanging="360"/>
      </w:pPr>
      <w:rPr>
        <w:rFonts w:ascii="Symbol" w:hAnsi="Symbol" w:hint="default"/>
      </w:rPr>
    </w:lvl>
    <w:lvl w:ilvl="4" w:tplc="08090003" w:tentative="1">
      <w:start w:val="1"/>
      <w:numFmt w:val="bullet"/>
      <w:lvlText w:val="o"/>
      <w:lvlJc w:val="left"/>
      <w:pPr>
        <w:ind w:left="3307" w:hanging="360"/>
      </w:pPr>
      <w:rPr>
        <w:rFonts w:ascii="Courier New" w:hAnsi="Courier New" w:cs="Courier New" w:hint="default"/>
      </w:rPr>
    </w:lvl>
    <w:lvl w:ilvl="5" w:tplc="08090005" w:tentative="1">
      <w:start w:val="1"/>
      <w:numFmt w:val="bullet"/>
      <w:lvlText w:val=""/>
      <w:lvlJc w:val="left"/>
      <w:pPr>
        <w:ind w:left="4027" w:hanging="360"/>
      </w:pPr>
      <w:rPr>
        <w:rFonts w:ascii="Wingdings" w:hAnsi="Wingdings" w:hint="default"/>
      </w:rPr>
    </w:lvl>
    <w:lvl w:ilvl="6" w:tplc="08090001" w:tentative="1">
      <w:start w:val="1"/>
      <w:numFmt w:val="bullet"/>
      <w:lvlText w:val=""/>
      <w:lvlJc w:val="left"/>
      <w:pPr>
        <w:ind w:left="4747" w:hanging="360"/>
      </w:pPr>
      <w:rPr>
        <w:rFonts w:ascii="Symbol" w:hAnsi="Symbol" w:hint="default"/>
      </w:rPr>
    </w:lvl>
    <w:lvl w:ilvl="7" w:tplc="08090003" w:tentative="1">
      <w:start w:val="1"/>
      <w:numFmt w:val="bullet"/>
      <w:lvlText w:val="o"/>
      <w:lvlJc w:val="left"/>
      <w:pPr>
        <w:ind w:left="5467" w:hanging="360"/>
      </w:pPr>
      <w:rPr>
        <w:rFonts w:ascii="Courier New" w:hAnsi="Courier New" w:cs="Courier New" w:hint="default"/>
      </w:rPr>
    </w:lvl>
    <w:lvl w:ilvl="8" w:tplc="08090005" w:tentative="1">
      <w:start w:val="1"/>
      <w:numFmt w:val="bullet"/>
      <w:lvlText w:val=""/>
      <w:lvlJc w:val="left"/>
      <w:pPr>
        <w:ind w:left="6187" w:hanging="360"/>
      </w:pPr>
      <w:rPr>
        <w:rFonts w:ascii="Wingdings" w:hAnsi="Wingdings" w:hint="default"/>
      </w:rPr>
    </w:lvl>
  </w:abstractNum>
  <w:abstractNum w:abstractNumId="26">
    <w:nsid w:val="4803599C"/>
    <w:multiLevelType w:val="hybridMultilevel"/>
    <w:tmpl w:val="E5569ABE"/>
    <w:lvl w:ilvl="0" w:tplc="04090001">
      <w:start w:val="1"/>
      <w:numFmt w:val="bullet"/>
      <w:lvlText w:val=""/>
      <w:lvlJc w:val="left"/>
      <w:pPr>
        <w:ind w:left="393" w:hanging="360"/>
      </w:pPr>
      <w:rPr>
        <w:rFonts w:ascii="Symbol" w:hAnsi="Symbol" w:hint="default"/>
      </w:rPr>
    </w:lvl>
    <w:lvl w:ilvl="1" w:tplc="08090003" w:tentative="1">
      <w:start w:val="1"/>
      <w:numFmt w:val="bullet"/>
      <w:lvlText w:val="o"/>
      <w:lvlJc w:val="left"/>
      <w:pPr>
        <w:ind w:left="1113" w:hanging="360"/>
      </w:pPr>
      <w:rPr>
        <w:rFonts w:ascii="Courier New" w:hAnsi="Courier New" w:cs="Courier New" w:hint="default"/>
      </w:rPr>
    </w:lvl>
    <w:lvl w:ilvl="2" w:tplc="08090005" w:tentative="1">
      <w:start w:val="1"/>
      <w:numFmt w:val="bullet"/>
      <w:lvlText w:val=""/>
      <w:lvlJc w:val="left"/>
      <w:pPr>
        <w:ind w:left="1833" w:hanging="360"/>
      </w:pPr>
      <w:rPr>
        <w:rFonts w:ascii="Wingdings" w:hAnsi="Wingdings" w:hint="default"/>
      </w:rPr>
    </w:lvl>
    <w:lvl w:ilvl="3" w:tplc="08090001" w:tentative="1">
      <w:start w:val="1"/>
      <w:numFmt w:val="bullet"/>
      <w:lvlText w:val=""/>
      <w:lvlJc w:val="left"/>
      <w:pPr>
        <w:ind w:left="2553" w:hanging="360"/>
      </w:pPr>
      <w:rPr>
        <w:rFonts w:ascii="Symbol" w:hAnsi="Symbol" w:hint="default"/>
      </w:rPr>
    </w:lvl>
    <w:lvl w:ilvl="4" w:tplc="08090003" w:tentative="1">
      <w:start w:val="1"/>
      <w:numFmt w:val="bullet"/>
      <w:lvlText w:val="o"/>
      <w:lvlJc w:val="left"/>
      <w:pPr>
        <w:ind w:left="3273" w:hanging="360"/>
      </w:pPr>
      <w:rPr>
        <w:rFonts w:ascii="Courier New" w:hAnsi="Courier New" w:cs="Courier New" w:hint="default"/>
      </w:rPr>
    </w:lvl>
    <w:lvl w:ilvl="5" w:tplc="08090005" w:tentative="1">
      <w:start w:val="1"/>
      <w:numFmt w:val="bullet"/>
      <w:lvlText w:val=""/>
      <w:lvlJc w:val="left"/>
      <w:pPr>
        <w:ind w:left="3993" w:hanging="360"/>
      </w:pPr>
      <w:rPr>
        <w:rFonts w:ascii="Wingdings" w:hAnsi="Wingdings" w:hint="default"/>
      </w:rPr>
    </w:lvl>
    <w:lvl w:ilvl="6" w:tplc="08090001" w:tentative="1">
      <w:start w:val="1"/>
      <w:numFmt w:val="bullet"/>
      <w:lvlText w:val=""/>
      <w:lvlJc w:val="left"/>
      <w:pPr>
        <w:ind w:left="4713" w:hanging="360"/>
      </w:pPr>
      <w:rPr>
        <w:rFonts w:ascii="Symbol" w:hAnsi="Symbol" w:hint="default"/>
      </w:rPr>
    </w:lvl>
    <w:lvl w:ilvl="7" w:tplc="08090003" w:tentative="1">
      <w:start w:val="1"/>
      <w:numFmt w:val="bullet"/>
      <w:lvlText w:val="o"/>
      <w:lvlJc w:val="left"/>
      <w:pPr>
        <w:ind w:left="5433" w:hanging="360"/>
      </w:pPr>
      <w:rPr>
        <w:rFonts w:ascii="Courier New" w:hAnsi="Courier New" w:cs="Courier New" w:hint="default"/>
      </w:rPr>
    </w:lvl>
    <w:lvl w:ilvl="8" w:tplc="08090005" w:tentative="1">
      <w:start w:val="1"/>
      <w:numFmt w:val="bullet"/>
      <w:lvlText w:val=""/>
      <w:lvlJc w:val="left"/>
      <w:pPr>
        <w:ind w:left="6153" w:hanging="360"/>
      </w:pPr>
      <w:rPr>
        <w:rFonts w:ascii="Wingdings" w:hAnsi="Wingdings" w:hint="default"/>
      </w:rPr>
    </w:lvl>
  </w:abstractNum>
  <w:abstractNum w:abstractNumId="27">
    <w:nsid w:val="481C28A9"/>
    <w:multiLevelType w:val="hybridMultilevel"/>
    <w:tmpl w:val="15B2C04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4BA3754E"/>
    <w:multiLevelType w:val="hybridMultilevel"/>
    <w:tmpl w:val="E0A0FA20"/>
    <w:lvl w:ilvl="0" w:tplc="0409000F">
      <w:start w:val="1"/>
      <w:numFmt w:val="decimal"/>
      <w:lvlText w:val="%1."/>
      <w:lvlJc w:val="left"/>
      <w:pPr>
        <w:ind w:left="427" w:hanging="360"/>
      </w:pPr>
    </w:lvl>
    <w:lvl w:ilvl="1" w:tplc="08090019" w:tentative="1">
      <w:start w:val="1"/>
      <w:numFmt w:val="lowerLetter"/>
      <w:lvlText w:val="%2."/>
      <w:lvlJc w:val="left"/>
      <w:pPr>
        <w:ind w:left="1147" w:hanging="360"/>
      </w:pPr>
    </w:lvl>
    <w:lvl w:ilvl="2" w:tplc="0809001B" w:tentative="1">
      <w:start w:val="1"/>
      <w:numFmt w:val="lowerRoman"/>
      <w:lvlText w:val="%3."/>
      <w:lvlJc w:val="right"/>
      <w:pPr>
        <w:ind w:left="1867" w:hanging="180"/>
      </w:pPr>
    </w:lvl>
    <w:lvl w:ilvl="3" w:tplc="0809000F" w:tentative="1">
      <w:start w:val="1"/>
      <w:numFmt w:val="decimal"/>
      <w:lvlText w:val="%4."/>
      <w:lvlJc w:val="left"/>
      <w:pPr>
        <w:ind w:left="2587" w:hanging="360"/>
      </w:pPr>
    </w:lvl>
    <w:lvl w:ilvl="4" w:tplc="08090019" w:tentative="1">
      <w:start w:val="1"/>
      <w:numFmt w:val="lowerLetter"/>
      <w:lvlText w:val="%5."/>
      <w:lvlJc w:val="left"/>
      <w:pPr>
        <w:ind w:left="3307" w:hanging="360"/>
      </w:pPr>
    </w:lvl>
    <w:lvl w:ilvl="5" w:tplc="0809001B" w:tentative="1">
      <w:start w:val="1"/>
      <w:numFmt w:val="lowerRoman"/>
      <w:lvlText w:val="%6."/>
      <w:lvlJc w:val="right"/>
      <w:pPr>
        <w:ind w:left="4027" w:hanging="180"/>
      </w:pPr>
    </w:lvl>
    <w:lvl w:ilvl="6" w:tplc="0809000F" w:tentative="1">
      <w:start w:val="1"/>
      <w:numFmt w:val="decimal"/>
      <w:lvlText w:val="%7."/>
      <w:lvlJc w:val="left"/>
      <w:pPr>
        <w:ind w:left="4747" w:hanging="360"/>
      </w:pPr>
    </w:lvl>
    <w:lvl w:ilvl="7" w:tplc="08090019" w:tentative="1">
      <w:start w:val="1"/>
      <w:numFmt w:val="lowerLetter"/>
      <w:lvlText w:val="%8."/>
      <w:lvlJc w:val="left"/>
      <w:pPr>
        <w:ind w:left="5467" w:hanging="360"/>
      </w:pPr>
    </w:lvl>
    <w:lvl w:ilvl="8" w:tplc="0809001B" w:tentative="1">
      <w:start w:val="1"/>
      <w:numFmt w:val="lowerRoman"/>
      <w:lvlText w:val="%9."/>
      <w:lvlJc w:val="right"/>
      <w:pPr>
        <w:ind w:left="6187" w:hanging="180"/>
      </w:pPr>
    </w:lvl>
  </w:abstractNum>
  <w:abstractNum w:abstractNumId="29">
    <w:nsid w:val="4E136BCD"/>
    <w:multiLevelType w:val="hybridMultilevel"/>
    <w:tmpl w:val="B1EC416C"/>
    <w:lvl w:ilvl="0" w:tplc="04090001">
      <w:start w:val="1"/>
      <w:numFmt w:val="bullet"/>
      <w:lvlText w:val=""/>
      <w:lvlJc w:val="left"/>
      <w:pPr>
        <w:ind w:left="427" w:hanging="360"/>
      </w:pPr>
      <w:rPr>
        <w:rFonts w:ascii="Symbol" w:hAnsi="Symbol" w:hint="default"/>
      </w:rPr>
    </w:lvl>
    <w:lvl w:ilvl="1" w:tplc="08090003" w:tentative="1">
      <w:start w:val="1"/>
      <w:numFmt w:val="bullet"/>
      <w:lvlText w:val="o"/>
      <w:lvlJc w:val="left"/>
      <w:pPr>
        <w:ind w:left="1147" w:hanging="360"/>
      </w:pPr>
      <w:rPr>
        <w:rFonts w:ascii="Courier New" w:hAnsi="Courier New" w:cs="Courier New" w:hint="default"/>
      </w:rPr>
    </w:lvl>
    <w:lvl w:ilvl="2" w:tplc="08090005" w:tentative="1">
      <w:start w:val="1"/>
      <w:numFmt w:val="bullet"/>
      <w:lvlText w:val=""/>
      <w:lvlJc w:val="left"/>
      <w:pPr>
        <w:ind w:left="1867" w:hanging="360"/>
      </w:pPr>
      <w:rPr>
        <w:rFonts w:ascii="Wingdings" w:hAnsi="Wingdings" w:hint="default"/>
      </w:rPr>
    </w:lvl>
    <w:lvl w:ilvl="3" w:tplc="08090001" w:tentative="1">
      <w:start w:val="1"/>
      <w:numFmt w:val="bullet"/>
      <w:lvlText w:val=""/>
      <w:lvlJc w:val="left"/>
      <w:pPr>
        <w:ind w:left="2587" w:hanging="360"/>
      </w:pPr>
      <w:rPr>
        <w:rFonts w:ascii="Symbol" w:hAnsi="Symbol" w:hint="default"/>
      </w:rPr>
    </w:lvl>
    <w:lvl w:ilvl="4" w:tplc="08090003" w:tentative="1">
      <w:start w:val="1"/>
      <w:numFmt w:val="bullet"/>
      <w:lvlText w:val="o"/>
      <w:lvlJc w:val="left"/>
      <w:pPr>
        <w:ind w:left="3307" w:hanging="360"/>
      </w:pPr>
      <w:rPr>
        <w:rFonts w:ascii="Courier New" w:hAnsi="Courier New" w:cs="Courier New" w:hint="default"/>
      </w:rPr>
    </w:lvl>
    <w:lvl w:ilvl="5" w:tplc="08090005" w:tentative="1">
      <w:start w:val="1"/>
      <w:numFmt w:val="bullet"/>
      <w:lvlText w:val=""/>
      <w:lvlJc w:val="left"/>
      <w:pPr>
        <w:ind w:left="4027" w:hanging="360"/>
      </w:pPr>
      <w:rPr>
        <w:rFonts w:ascii="Wingdings" w:hAnsi="Wingdings" w:hint="default"/>
      </w:rPr>
    </w:lvl>
    <w:lvl w:ilvl="6" w:tplc="08090001" w:tentative="1">
      <w:start w:val="1"/>
      <w:numFmt w:val="bullet"/>
      <w:lvlText w:val=""/>
      <w:lvlJc w:val="left"/>
      <w:pPr>
        <w:ind w:left="4747" w:hanging="360"/>
      </w:pPr>
      <w:rPr>
        <w:rFonts w:ascii="Symbol" w:hAnsi="Symbol" w:hint="default"/>
      </w:rPr>
    </w:lvl>
    <w:lvl w:ilvl="7" w:tplc="08090003" w:tentative="1">
      <w:start w:val="1"/>
      <w:numFmt w:val="bullet"/>
      <w:lvlText w:val="o"/>
      <w:lvlJc w:val="left"/>
      <w:pPr>
        <w:ind w:left="5467" w:hanging="360"/>
      </w:pPr>
      <w:rPr>
        <w:rFonts w:ascii="Courier New" w:hAnsi="Courier New" w:cs="Courier New" w:hint="default"/>
      </w:rPr>
    </w:lvl>
    <w:lvl w:ilvl="8" w:tplc="08090005" w:tentative="1">
      <w:start w:val="1"/>
      <w:numFmt w:val="bullet"/>
      <w:lvlText w:val=""/>
      <w:lvlJc w:val="left"/>
      <w:pPr>
        <w:ind w:left="6187" w:hanging="360"/>
      </w:pPr>
      <w:rPr>
        <w:rFonts w:ascii="Wingdings" w:hAnsi="Wingdings" w:hint="default"/>
      </w:rPr>
    </w:lvl>
  </w:abstractNum>
  <w:abstractNum w:abstractNumId="30">
    <w:nsid w:val="4F8567F6"/>
    <w:multiLevelType w:val="hybridMultilevel"/>
    <w:tmpl w:val="6C8EE05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56096FAE"/>
    <w:multiLevelType w:val="hybridMultilevel"/>
    <w:tmpl w:val="8BCEDDFA"/>
    <w:lvl w:ilvl="0" w:tplc="0409000F">
      <w:start w:val="1"/>
      <w:numFmt w:val="decimal"/>
      <w:lvlText w:val="%1."/>
      <w:lvlJc w:val="left"/>
      <w:pPr>
        <w:ind w:left="427" w:hanging="360"/>
      </w:pPr>
    </w:lvl>
    <w:lvl w:ilvl="1" w:tplc="08090019" w:tentative="1">
      <w:start w:val="1"/>
      <w:numFmt w:val="lowerLetter"/>
      <w:lvlText w:val="%2."/>
      <w:lvlJc w:val="left"/>
      <w:pPr>
        <w:ind w:left="1147" w:hanging="360"/>
      </w:pPr>
    </w:lvl>
    <w:lvl w:ilvl="2" w:tplc="0809001B" w:tentative="1">
      <w:start w:val="1"/>
      <w:numFmt w:val="lowerRoman"/>
      <w:lvlText w:val="%3."/>
      <w:lvlJc w:val="right"/>
      <w:pPr>
        <w:ind w:left="1867" w:hanging="180"/>
      </w:pPr>
    </w:lvl>
    <w:lvl w:ilvl="3" w:tplc="0809000F" w:tentative="1">
      <w:start w:val="1"/>
      <w:numFmt w:val="decimal"/>
      <w:lvlText w:val="%4."/>
      <w:lvlJc w:val="left"/>
      <w:pPr>
        <w:ind w:left="2587" w:hanging="360"/>
      </w:pPr>
    </w:lvl>
    <w:lvl w:ilvl="4" w:tplc="08090019" w:tentative="1">
      <w:start w:val="1"/>
      <w:numFmt w:val="lowerLetter"/>
      <w:lvlText w:val="%5."/>
      <w:lvlJc w:val="left"/>
      <w:pPr>
        <w:ind w:left="3307" w:hanging="360"/>
      </w:pPr>
    </w:lvl>
    <w:lvl w:ilvl="5" w:tplc="0809001B" w:tentative="1">
      <w:start w:val="1"/>
      <w:numFmt w:val="lowerRoman"/>
      <w:lvlText w:val="%6."/>
      <w:lvlJc w:val="right"/>
      <w:pPr>
        <w:ind w:left="4027" w:hanging="180"/>
      </w:pPr>
    </w:lvl>
    <w:lvl w:ilvl="6" w:tplc="0809000F" w:tentative="1">
      <w:start w:val="1"/>
      <w:numFmt w:val="decimal"/>
      <w:lvlText w:val="%7."/>
      <w:lvlJc w:val="left"/>
      <w:pPr>
        <w:ind w:left="4747" w:hanging="360"/>
      </w:pPr>
    </w:lvl>
    <w:lvl w:ilvl="7" w:tplc="08090019" w:tentative="1">
      <w:start w:val="1"/>
      <w:numFmt w:val="lowerLetter"/>
      <w:lvlText w:val="%8."/>
      <w:lvlJc w:val="left"/>
      <w:pPr>
        <w:ind w:left="5467" w:hanging="360"/>
      </w:pPr>
    </w:lvl>
    <w:lvl w:ilvl="8" w:tplc="0809001B" w:tentative="1">
      <w:start w:val="1"/>
      <w:numFmt w:val="lowerRoman"/>
      <w:lvlText w:val="%9."/>
      <w:lvlJc w:val="right"/>
      <w:pPr>
        <w:ind w:left="6187" w:hanging="180"/>
      </w:pPr>
    </w:lvl>
  </w:abstractNum>
  <w:abstractNum w:abstractNumId="32">
    <w:nsid w:val="600E3C85"/>
    <w:multiLevelType w:val="hybridMultilevel"/>
    <w:tmpl w:val="1950847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647B0C9D"/>
    <w:multiLevelType w:val="hybridMultilevel"/>
    <w:tmpl w:val="7BA62C9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nsid w:val="64B115EB"/>
    <w:multiLevelType w:val="hybridMultilevel"/>
    <w:tmpl w:val="973AF8EC"/>
    <w:lvl w:ilvl="0" w:tplc="1FEC1486">
      <w:start w:val="1"/>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nsid w:val="66EA722A"/>
    <w:multiLevelType w:val="hybridMultilevel"/>
    <w:tmpl w:val="16DEB0E6"/>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69256DB5"/>
    <w:multiLevelType w:val="hybridMultilevel"/>
    <w:tmpl w:val="00E00000"/>
    <w:lvl w:ilvl="0" w:tplc="04090001">
      <w:start w:val="1"/>
      <w:numFmt w:val="bullet"/>
      <w:lvlText w:val=""/>
      <w:lvlJc w:val="left"/>
      <w:pPr>
        <w:ind w:left="393" w:hanging="360"/>
      </w:pPr>
      <w:rPr>
        <w:rFonts w:ascii="Symbol" w:hAnsi="Symbol" w:hint="default"/>
      </w:rPr>
    </w:lvl>
    <w:lvl w:ilvl="1" w:tplc="08090003" w:tentative="1">
      <w:start w:val="1"/>
      <w:numFmt w:val="bullet"/>
      <w:lvlText w:val="o"/>
      <w:lvlJc w:val="left"/>
      <w:pPr>
        <w:ind w:left="1113" w:hanging="360"/>
      </w:pPr>
      <w:rPr>
        <w:rFonts w:ascii="Courier New" w:hAnsi="Courier New" w:cs="Courier New" w:hint="default"/>
      </w:rPr>
    </w:lvl>
    <w:lvl w:ilvl="2" w:tplc="08090005" w:tentative="1">
      <w:start w:val="1"/>
      <w:numFmt w:val="bullet"/>
      <w:lvlText w:val=""/>
      <w:lvlJc w:val="left"/>
      <w:pPr>
        <w:ind w:left="1833" w:hanging="360"/>
      </w:pPr>
      <w:rPr>
        <w:rFonts w:ascii="Wingdings" w:hAnsi="Wingdings" w:hint="default"/>
      </w:rPr>
    </w:lvl>
    <w:lvl w:ilvl="3" w:tplc="08090001" w:tentative="1">
      <w:start w:val="1"/>
      <w:numFmt w:val="bullet"/>
      <w:lvlText w:val=""/>
      <w:lvlJc w:val="left"/>
      <w:pPr>
        <w:ind w:left="2553" w:hanging="360"/>
      </w:pPr>
      <w:rPr>
        <w:rFonts w:ascii="Symbol" w:hAnsi="Symbol" w:hint="default"/>
      </w:rPr>
    </w:lvl>
    <w:lvl w:ilvl="4" w:tplc="08090003" w:tentative="1">
      <w:start w:val="1"/>
      <w:numFmt w:val="bullet"/>
      <w:lvlText w:val="o"/>
      <w:lvlJc w:val="left"/>
      <w:pPr>
        <w:ind w:left="3273" w:hanging="360"/>
      </w:pPr>
      <w:rPr>
        <w:rFonts w:ascii="Courier New" w:hAnsi="Courier New" w:cs="Courier New" w:hint="default"/>
      </w:rPr>
    </w:lvl>
    <w:lvl w:ilvl="5" w:tplc="08090005" w:tentative="1">
      <w:start w:val="1"/>
      <w:numFmt w:val="bullet"/>
      <w:lvlText w:val=""/>
      <w:lvlJc w:val="left"/>
      <w:pPr>
        <w:ind w:left="3993" w:hanging="360"/>
      </w:pPr>
      <w:rPr>
        <w:rFonts w:ascii="Wingdings" w:hAnsi="Wingdings" w:hint="default"/>
      </w:rPr>
    </w:lvl>
    <w:lvl w:ilvl="6" w:tplc="08090001" w:tentative="1">
      <w:start w:val="1"/>
      <w:numFmt w:val="bullet"/>
      <w:lvlText w:val=""/>
      <w:lvlJc w:val="left"/>
      <w:pPr>
        <w:ind w:left="4713" w:hanging="360"/>
      </w:pPr>
      <w:rPr>
        <w:rFonts w:ascii="Symbol" w:hAnsi="Symbol" w:hint="default"/>
      </w:rPr>
    </w:lvl>
    <w:lvl w:ilvl="7" w:tplc="08090003" w:tentative="1">
      <w:start w:val="1"/>
      <w:numFmt w:val="bullet"/>
      <w:lvlText w:val="o"/>
      <w:lvlJc w:val="left"/>
      <w:pPr>
        <w:ind w:left="5433" w:hanging="360"/>
      </w:pPr>
      <w:rPr>
        <w:rFonts w:ascii="Courier New" w:hAnsi="Courier New" w:cs="Courier New" w:hint="default"/>
      </w:rPr>
    </w:lvl>
    <w:lvl w:ilvl="8" w:tplc="08090005" w:tentative="1">
      <w:start w:val="1"/>
      <w:numFmt w:val="bullet"/>
      <w:lvlText w:val=""/>
      <w:lvlJc w:val="left"/>
      <w:pPr>
        <w:ind w:left="6153" w:hanging="360"/>
      </w:pPr>
      <w:rPr>
        <w:rFonts w:ascii="Wingdings" w:hAnsi="Wingdings" w:hint="default"/>
      </w:rPr>
    </w:lvl>
  </w:abstractNum>
  <w:abstractNum w:abstractNumId="37">
    <w:nsid w:val="6C7463DF"/>
    <w:multiLevelType w:val="hybridMultilevel"/>
    <w:tmpl w:val="423C68AC"/>
    <w:lvl w:ilvl="0" w:tplc="04090001">
      <w:start w:val="1"/>
      <w:numFmt w:val="bullet"/>
      <w:lvlText w:val=""/>
      <w:lvlJc w:val="left"/>
      <w:pPr>
        <w:ind w:left="393" w:hanging="360"/>
      </w:pPr>
      <w:rPr>
        <w:rFonts w:ascii="Symbol" w:hAnsi="Symbol" w:hint="default"/>
      </w:rPr>
    </w:lvl>
    <w:lvl w:ilvl="1" w:tplc="08090003" w:tentative="1">
      <w:start w:val="1"/>
      <w:numFmt w:val="bullet"/>
      <w:lvlText w:val="o"/>
      <w:lvlJc w:val="left"/>
      <w:pPr>
        <w:ind w:left="1113" w:hanging="360"/>
      </w:pPr>
      <w:rPr>
        <w:rFonts w:ascii="Courier New" w:hAnsi="Courier New" w:cs="Courier New" w:hint="default"/>
      </w:rPr>
    </w:lvl>
    <w:lvl w:ilvl="2" w:tplc="08090005" w:tentative="1">
      <w:start w:val="1"/>
      <w:numFmt w:val="bullet"/>
      <w:lvlText w:val=""/>
      <w:lvlJc w:val="left"/>
      <w:pPr>
        <w:ind w:left="1833" w:hanging="360"/>
      </w:pPr>
      <w:rPr>
        <w:rFonts w:ascii="Wingdings" w:hAnsi="Wingdings" w:hint="default"/>
      </w:rPr>
    </w:lvl>
    <w:lvl w:ilvl="3" w:tplc="08090001" w:tentative="1">
      <w:start w:val="1"/>
      <w:numFmt w:val="bullet"/>
      <w:lvlText w:val=""/>
      <w:lvlJc w:val="left"/>
      <w:pPr>
        <w:ind w:left="2553" w:hanging="360"/>
      </w:pPr>
      <w:rPr>
        <w:rFonts w:ascii="Symbol" w:hAnsi="Symbol" w:hint="default"/>
      </w:rPr>
    </w:lvl>
    <w:lvl w:ilvl="4" w:tplc="08090003" w:tentative="1">
      <w:start w:val="1"/>
      <w:numFmt w:val="bullet"/>
      <w:lvlText w:val="o"/>
      <w:lvlJc w:val="left"/>
      <w:pPr>
        <w:ind w:left="3273" w:hanging="360"/>
      </w:pPr>
      <w:rPr>
        <w:rFonts w:ascii="Courier New" w:hAnsi="Courier New" w:cs="Courier New" w:hint="default"/>
      </w:rPr>
    </w:lvl>
    <w:lvl w:ilvl="5" w:tplc="08090005" w:tentative="1">
      <w:start w:val="1"/>
      <w:numFmt w:val="bullet"/>
      <w:lvlText w:val=""/>
      <w:lvlJc w:val="left"/>
      <w:pPr>
        <w:ind w:left="3993" w:hanging="360"/>
      </w:pPr>
      <w:rPr>
        <w:rFonts w:ascii="Wingdings" w:hAnsi="Wingdings" w:hint="default"/>
      </w:rPr>
    </w:lvl>
    <w:lvl w:ilvl="6" w:tplc="08090001" w:tentative="1">
      <w:start w:val="1"/>
      <w:numFmt w:val="bullet"/>
      <w:lvlText w:val=""/>
      <w:lvlJc w:val="left"/>
      <w:pPr>
        <w:ind w:left="4713" w:hanging="360"/>
      </w:pPr>
      <w:rPr>
        <w:rFonts w:ascii="Symbol" w:hAnsi="Symbol" w:hint="default"/>
      </w:rPr>
    </w:lvl>
    <w:lvl w:ilvl="7" w:tplc="08090003" w:tentative="1">
      <w:start w:val="1"/>
      <w:numFmt w:val="bullet"/>
      <w:lvlText w:val="o"/>
      <w:lvlJc w:val="left"/>
      <w:pPr>
        <w:ind w:left="5433" w:hanging="360"/>
      </w:pPr>
      <w:rPr>
        <w:rFonts w:ascii="Courier New" w:hAnsi="Courier New" w:cs="Courier New" w:hint="default"/>
      </w:rPr>
    </w:lvl>
    <w:lvl w:ilvl="8" w:tplc="08090005" w:tentative="1">
      <w:start w:val="1"/>
      <w:numFmt w:val="bullet"/>
      <w:lvlText w:val=""/>
      <w:lvlJc w:val="left"/>
      <w:pPr>
        <w:ind w:left="6153" w:hanging="360"/>
      </w:pPr>
      <w:rPr>
        <w:rFonts w:ascii="Wingdings" w:hAnsi="Wingdings" w:hint="default"/>
      </w:rPr>
    </w:lvl>
  </w:abstractNum>
  <w:abstractNum w:abstractNumId="38">
    <w:nsid w:val="7193556E"/>
    <w:multiLevelType w:val="hybridMultilevel"/>
    <w:tmpl w:val="67A0D84C"/>
    <w:lvl w:ilvl="0" w:tplc="04090001">
      <w:start w:val="1"/>
      <w:numFmt w:val="bullet"/>
      <w:lvlText w:val=""/>
      <w:lvlJc w:val="left"/>
      <w:pPr>
        <w:ind w:left="393" w:hanging="360"/>
      </w:pPr>
      <w:rPr>
        <w:rFonts w:ascii="Symbol" w:hAnsi="Symbol" w:hint="default"/>
      </w:rPr>
    </w:lvl>
    <w:lvl w:ilvl="1" w:tplc="08090003" w:tentative="1">
      <w:start w:val="1"/>
      <w:numFmt w:val="bullet"/>
      <w:lvlText w:val="o"/>
      <w:lvlJc w:val="left"/>
      <w:pPr>
        <w:ind w:left="1113" w:hanging="360"/>
      </w:pPr>
      <w:rPr>
        <w:rFonts w:ascii="Courier New" w:hAnsi="Courier New" w:cs="Courier New" w:hint="default"/>
      </w:rPr>
    </w:lvl>
    <w:lvl w:ilvl="2" w:tplc="08090005" w:tentative="1">
      <w:start w:val="1"/>
      <w:numFmt w:val="bullet"/>
      <w:lvlText w:val=""/>
      <w:lvlJc w:val="left"/>
      <w:pPr>
        <w:ind w:left="1833" w:hanging="360"/>
      </w:pPr>
      <w:rPr>
        <w:rFonts w:ascii="Wingdings" w:hAnsi="Wingdings" w:hint="default"/>
      </w:rPr>
    </w:lvl>
    <w:lvl w:ilvl="3" w:tplc="08090001" w:tentative="1">
      <w:start w:val="1"/>
      <w:numFmt w:val="bullet"/>
      <w:lvlText w:val=""/>
      <w:lvlJc w:val="left"/>
      <w:pPr>
        <w:ind w:left="2553" w:hanging="360"/>
      </w:pPr>
      <w:rPr>
        <w:rFonts w:ascii="Symbol" w:hAnsi="Symbol" w:hint="default"/>
      </w:rPr>
    </w:lvl>
    <w:lvl w:ilvl="4" w:tplc="08090003" w:tentative="1">
      <w:start w:val="1"/>
      <w:numFmt w:val="bullet"/>
      <w:lvlText w:val="o"/>
      <w:lvlJc w:val="left"/>
      <w:pPr>
        <w:ind w:left="3273" w:hanging="360"/>
      </w:pPr>
      <w:rPr>
        <w:rFonts w:ascii="Courier New" w:hAnsi="Courier New" w:cs="Courier New" w:hint="default"/>
      </w:rPr>
    </w:lvl>
    <w:lvl w:ilvl="5" w:tplc="08090005" w:tentative="1">
      <w:start w:val="1"/>
      <w:numFmt w:val="bullet"/>
      <w:lvlText w:val=""/>
      <w:lvlJc w:val="left"/>
      <w:pPr>
        <w:ind w:left="3993" w:hanging="360"/>
      </w:pPr>
      <w:rPr>
        <w:rFonts w:ascii="Wingdings" w:hAnsi="Wingdings" w:hint="default"/>
      </w:rPr>
    </w:lvl>
    <w:lvl w:ilvl="6" w:tplc="08090001" w:tentative="1">
      <w:start w:val="1"/>
      <w:numFmt w:val="bullet"/>
      <w:lvlText w:val=""/>
      <w:lvlJc w:val="left"/>
      <w:pPr>
        <w:ind w:left="4713" w:hanging="360"/>
      </w:pPr>
      <w:rPr>
        <w:rFonts w:ascii="Symbol" w:hAnsi="Symbol" w:hint="default"/>
      </w:rPr>
    </w:lvl>
    <w:lvl w:ilvl="7" w:tplc="08090003" w:tentative="1">
      <w:start w:val="1"/>
      <w:numFmt w:val="bullet"/>
      <w:lvlText w:val="o"/>
      <w:lvlJc w:val="left"/>
      <w:pPr>
        <w:ind w:left="5433" w:hanging="360"/>
      </w:pPr>
      <w:rPr>
        <w:rFonts w:ascii="Courier New" w:hAnsi="Courier New" w:cs="Courier New" w:hint="default"/>
      </w:rPr>
    </w:lvl>
    <w:lvl w:ilvl="8" w:tplc="08090005" w:tentative="1">
      <w:start w:val="1"/>
      <w:numFmt w:val="bullet"/>
      <w:lvlText w:val=""/>
      <w:lvlJc w:val="left"/>
      <w:pPr>
        <w:ind w:left="6153" w:hanging="360"/>
      </w:pPr>
      <w:rPr>
        <w:rFonts w:ascii="Wingdings" w:hAnsi="Wingdings" w:hint="default"/>
      </w:rPr>
    </w:lvl>
  </w:abstractNum>
  <w:abstractNum w:abstractNumId="39">
    <w:nsid w:val="76FF617E"/>
    <w:multiLevelType w:val="hybridMultilevel"/>
    <w:tmpl w:val="C16A86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nsid w:val="78AB160A"/>
    <w:multiLevelType w:val="hybridMultilevel"/>
    <w:tmpl w:val="65E8FF42"/>
    <w:lvl w:ilvl="0" w:tplc="04090001">
      <w:start w:val="1"/>
      <w:numFmt w:val="bullet"/>
      <w:lvlText w:val=""/>
      <w:lvlJc w:val="left"/>
      <w:pPr>
        <w:ind w:left="393" w:hanging="360"/>
      </w:pPr>
      <w:rPr>
        <w:rFonts w:ascii="Symbol" w:hAnsi="Symbol" w:hint="default"/>
      </w:rPr>
    </w:lvl>
    <w:lvl w:ilvl="1" w:tplc="08090003" w:tentative="1">
      <w:start w:val="1"/>
      <w:numFmt w:val="bullet"/>
      <w:lvlText w:val="o"/>
      <w:lvlJc w:val="left"/>
      <w:pPr>
        <w:ind w:left="1113" w:hanging="360"/>
      </w:pPr>
      <w:rPr>
        <w:rFonts w:ascii="Courier New" w:hAnsi="Courier New" w:cs="Courier New" w:hint="default"/>
      </w:rPr>
    </w:lvl>
    <w:lvl w:ilvl="2" w:tplc="08090005" w:tentative="1">
      <w:start w:val="1"/>
      <w:numFmt w:val="bullet"/>
      <w:lvlText w:val=""/>
      <w:lvlJc w:val="left"/>
      <w:pPr>
        <w:ind w:left="1833" w:hanging="360"/>
      </w:pPr>
      <w:rPr>
        <w:rFonts w:ascii="Wingdings" w:hAnsi="Wingdings" w:hint="default"/>
      </w:rPr>
    </w:lvl>
    <w:lvl w:ilvl="3" w:tplc="08090001" w:tentative="1">
      <w:start w:val="1"/>
      <w:numFmt w:val="bullet"/>
      <w:lvlText w:val=""/>
      <w:lvlJc w:val="left"/>
      <w:pPr>
        <w:ind w:left="2553" w:hanging="360"/>
      </w:pPr>
      <w:rPr>
        <w:rFonts w:ascii="Symbol" w:hAnsi="Symbol" w:hint="default"/>
      </w:rPr>
    </w:lvl>
    <w:lvl w:ilvl="4" w:tplc="08090003" w:tentative="1">
      <w:start w:val="1"/>
      <w:numFmt w:val="bullet"/>
      <w:lvlText w:val="o"/>
      <w:lvlJc w:val="left"/>
      <w:pPr>
        <w:ind w:left="3273" w:hanging="360"/>
      </w:pPr>
      <w:rPr>
        <w:rFonts w:ascii="Courier New" w:hAnsi="Courier New" w:cs="Courier New" w:hint="default"/>
      </w:rPr>
    </w:lvl>
    <w:lvl w:ilvl="5" w:tplc="08090005" w:tentative="1">
      <w:start w:val="1"/>
      <w:numFmt w:val="bullet"/>
      <w:lvlText w:val=""/>
      <w:lvlJc w:val="left"/>
      <w:pPr>
        <w:ind w:left="3993" w:hanging="360"/>
      </w:pPr>
      <w:rPr>
        <w:rFonts w:ascii="Wingdings" w:hAnsi="Wingdings" w:hint="default"/>
      </w:rPr>
    </w:lvl>
    <w:lvl w:ilvl="6" w:tplc="08090001" w:tentative="1">
      <w:start w:val="1"/>
      <w:numFmt w:val="bullet"/>
      <w:lvlText w:val=""/>
      <w:lvlJc w:val="left"/>
      <w:pPr>
        <w:ind w:left="4713" w:hanging="360"/>
      </w:pPr>
      <w:rPr>
        <w:rFonts w:ascii="Symbol" w:hAnsi="Symbol" w:hint="default"/>
      </w:rPr>
    </w:lvl>
    <w:lvl w:ilvl="7" w:tplc="08090003" w:tentative="1">
      <w:start w:val="1"/>
      <w:numFmt w:val="bullet"/>
      <w:lvlText w:val="o"/>
      <w:lvlJc w:val="left"/>
      <w:pPr>
        <w:ind w:left="5433" w:hanging="360"/>
      </w:pPr>
      <w:rPr>
        <w:rFonts w:ascii="Courier New" w:hAnsi="Courier New" w:cs="Courier New" w:hint="default"/>
      </w:rPr>
    </w:lvl>
    <w:lvl w:ilvl="8" w:tplc="08090005" w:tentative="1">
      <w:start w:val="1"/>
      <w:numFmt w:val="bullet"/>
      <w:lvlText w:val=""/>
      <w:lvlJc w:val="left"/>
      <w:pPr>
        <w:ind w:left="6153" w:hanging="360"/>
      </w:pPr>
      <w:rPr>
        <w:rFonts w:ascii="Wingdings" w:hAnsi="Wingdings" w:hint="default"/>
      </w:rPr>
    </w:lvl>
  </w:abstractNum>
  <w:abstractNum w:abstractNumId="41">
    <w:nsid w:val="796F75C2"/>
    <w:multiLevelType w:val="multilevel"/>
    <w:tmpl w:val="95E2A508"/>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2">
    <w:nsid w:val="7BBC383B"/>
    <w:multiLevelType w:val="hybridMultilevel"/>
    <w:tmpl w:val="0186ED7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nsid w:val="7F565514"/>
    <w:multiLevelType w:val="multilevel"/>
    <w:tmpl w:val="80B293F0"/>
    <w:lvl w:ilvl="0">
      <w:start w:val="1"/>
      <w:numFmt w:val="decimal"/>
      <w:lvlText w:val="%1."/>
      <w:lvlJc w:val="left"/>
      <w:pPr>
        <w:ind w:left="360" w:hanging="360"/>
      </w:pPr>
      <w:rPr>
        <w:rFonts w:hint="default"/>
        <w:b/>
        <w:i w:val="0"/>
        <w:color w:val="auto"/>
      </w:rPr>
    </w:lvl>
    <w:lvl w:ilvl="1">
      <w:start w:val="1"/>
      <w:numFmt w:val="decimal"/>
      <w:lvlText w:val="%1.%2."/>
      <w:lvlJc w:val="left"/>
      <w:pPr>
        <w:ind w:left="79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6"/>
  </w:num>
  <w:num w:numId="3">
    <w:abstractNumId w:val="8"/>
  </w:num>
  <w:num w:numId="4">
    <w:abstractNumId w:val="3"/>
  </w:num>
  <w:num w:numId="5">
    <w:abstractNumId w:val="41"/>
  </w:num>
  <w:num w:numId="6">
    <w:abstractNumId w:val="7"/>
  </w:num>
  <w:num w:numId="7">
    <w:abstractNumId w:val="33"/>
  </w:num>
  <w:num w:numId="8">
    <w:abstractNumId w:val="22"/>
  </w:num>
  <w:num w:numId="9">
    <w:abstractNumId w:val="19"/>
  </w:num>
  <w:num w:numId="10">
    <w:abstractNumId w:val="43"/>
  </w:num>
  <w:num w:numId="11">
    <w:abstractNumId w:val="24"/>
  </w:num>
  <w:num w:numId="12">
    <w:abstractNumId w:val="34"/>
  </w:num>
  <w:num w:numId="13">
    <w:abstractNumId w:val="13"/>
  </w:num>
  <w:num w:numId="14">
    <w:abstractNumId w:val="25"/>
  </w:num>
  <w:num w:numId="15">
    <w:abstractNumId w:val="14"/>
  </w:num>
  <w:num w:numId="16">
    <w:abstractNumId w:val="21"/>
  </w:num>
  <w:num w:numId="17">
    <w:abstractNumId w:val="12"/>
  </w:num>
  <w:num w:numId="18">
    <w:abstractNumId w:val="35"/>
  </w:num>
  <w:num w:numId="19">
    <w:abstractNumId w:val="1"/>
  </w:num>
  <w:num w:numId="20">
    <w:abstractNumId w:val="30"/>
  </w:num>
  <w:num w:numId="21">
    <w:abstractNumId w:val="16"/>
  </w:num>
  <w:num w:numId="22">
    <w:abstractNumId w:val="0"/>
  </w:num>
  <w:num w:numId="23">
    <w:abstractNumId w:val="39"/>
  </w:num>
  <w:num w:numId="24">
    <w:abstractNumId w:val="23"/>
  </w:num>
  <w:num w:numId="25">
    <w:abstractNumId w:val="15"/>
  </w:num>
  <w:num w:numId="26">
    <w:abstractNumId w:val="5"/>
  </w:num>
  <w:num w:numId="27">
    <w:abstractNumId w:val="27"/>
  </w:num>
  <w:num w:numId="28">
    <w:abstractNumId w:val="20"/>
  </w:num>
  <w:num w:numId="29">
    <w:abstractNumId w:val="2"/>
  </w:num>
  <w:num w:numId="30">
    <w:abstractNumId w:val="4"/>
  </w:num>
  <w:num w:numId="31">
    <w:abstractNumId w:val="29"/>
  </w:num>
  <w:num w:numId="32">
    <w:abstractNumId w:val="31"/>
  </w:num>
  <w:num w:numId="33">
    <w:abstractNumId w:val="28"/>
  </w:num>
  <w:num w:numId="34">
    <w:abstractNumId w:val="18"/>
  </w:num>
  <w:num w:numId="35">
    <w:abstractNumId w:val="36"/>
  </w:num>
  <w:num w:numId="36">
    <w:abstractNumId w:val="40"/>
  </w:num>
  <w:num w:numId="37">
    <w:abstractNumId w:val="42"/>
  </w:num>
  <w:num w:numId="38">
    <w:abstractNumId w:val="37"/>
  </w:num>
  <w:num w:numId="39">
    <w:abstractNumId w:val="32"/>
  </w:num>
  <w:num w:numId="40">
    <w:abstractNumId w:val="26"/>
  </w:num>
  <w:num w:numId="41">
    <w:abstractNumId w:val="38"/>
  </w:num>
  <w:num w:numId="42">
    <w:abstractNumId w:val="11"/>
  </w:num>
  <w:num w:numId="43">
    <w:abstractNumId w:val="10"/>
  </w:num>
  <w:num w:numId="4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306FE5"/>
    <w:rsid w:val="00010319"/>
    <w:rsid w:val="00012878"/>
    <w:rsid w:val="00016562"/>
    <w:rsid w:val="00037A92"/>
    <w:rsid w:val="00041887"/>
    <w:rsid w:val="0004498A"/>
    <w:rsid w:val="00050E23"/>
    <w:rsid w:val="0005183D"/>
    <w:rsid w:val="00054099"/>
    <w:rsid w:val="000554E3"/>
    <w:rsid w:val="000618AC"/>
    <w:rsid w:val="00065A95"/>
    <w:rsid w:val="00070662"/>
    <w:rsid w:val="00070CC8"/>
    <w:rsid w:val="00077797"/>
    <w:rsid w:val="000850DA"/>
    <w:rsid w:val="000A14B4"/>
    <w:rsid w:val="000B0193"/>
    <w:rsid w:val="000B1245"/>
    <w:rsid w:val="000C28A0"/>
    <w:rsid w:val="000C34D4"/>
    <w:rsid w:val="000D5391"/>
    <w:rsid w:val="000E6551"/>
    <w:rsid w:val="000E6E9B"/>
    <w:rsid w:val="000F6479"/>
    <w:rsid w:val="001134F7"/>
    <w:rsid w:val="00124F36"/>
    <w:rsid w:val="001665BC"/>
    <w:rsid w:val="00174D0E"/>
    <w:rsid w:val="00177D60"/>
    <w:rsid w:val="00180D9A"/>
    <w:rsid w:val="00186915"/>
    <w:rsid w:val="00191F56"/>
    <w:rsid w:val="001923FB"/>
    <w:rsid w:val="00192675"/>
    <w:rsid w:val="00194532"/>
    <w:rsid w:val="001A2DBB"/>
    <w:rsid w:val="001A55C6"/>
    <w:rsid w:val="001A68CD"/>
    <w:rsid w:val="001A7E6D"/>
    <w:rsid w:val="001B4174"/>
    <w:rsid w:val="001B41B0"/>
    <w:rsid w:val="001B576D"/>
    <w:rsid w:val="001C587A"/>
    <w:rsid w:val="001C6F12"/>
    <w:rsid w:val="001C7D93"/>
    <w:rsid w:val="001D3CB8"/>
    <w:rsid w:val="001E1025"/>
    <w:rsid w:val="001E582C"/>
    <w:rsid w:val="001F21AB"/>
    <w:rsid w:val="00204D63"/>
    <w:rsid w:val="00205229"/>
    <w:rsid w:val="00207873"/>
    <w:rsid w:val="002216F7"/>
    <w:rsid w:val="00227804"/>
    <w:rsid w:val="00235F1F"/>
    <w:rsid w:val="00236CA6"/>
    <w:rsid w:val="00241A77"/>
    <w:rsid w:val="0024376E"/>
    <w:rsid w:val="00244B55"/>
    <w:rsid w:val="00246D1F"/>
    <w:rsid w:val="00247E11"/>
    <w:rsid w:val="00260964"/>
    <w:rsid w:val="00265516"/>
    <w:rsid w:val="00266DA4"/>
    <w:rsid w:val="002721AC"/>
    <w:rsid w:val="00285CEE"/>
    <w:rsid w:val="002A49C6"/>
    <w:rsid w:val="002A5C5F"/>
    <w:rsid w:val="002B6E1B"/>
    <w:rsid w:val="002B7776"/>
    <w:rsid w:val="002C5EFE"/>
    <w:rsid w:val="002C68A4"/>
    <w:rsid w:val="002D4397"/>
    <w:rsid w:val="002E0EA3"/>
    <w:rsid w:val="002E2BAE"/>
    <w:rsid w:val="002F3B8C"/>
    <w:rsid w:val="002F3F91"/>
    <w:rsid w:val="002F463E"/>
    <w:rsid w:val="00301759"/>
    <w:rsid w:val="00302766"/>
    <w:rsid w:val="00306FE5"/>
    <w:rsid w:val="00311C69"/>
    <w:rsid w:val="00336271"/>
    <w:rsid w:val="003500AB"/>
    <w:rsid w:val="00365CE5"/>
    <w:rsid w:val="00374A6F"/>
    <w:rsid w:val="00391857"/>
    <w:rsid w:val="003929BE"/>
    <w:rsid w:val="003A6822"/>
    <w:rsid w:val="003B57EE"/>
    <w:rsid w:val="003C00A6"/>
    <w:rsid w:val="003D10EA"/>
    <w:rsid w:val="003F6104"/>
    <w:rsid w:val="004050CD"/>
    <w:rsid w:val="00422CD7"/>
    <w:rsid w:val="00440E49"/>
    <w:rsid w:val="0044197C"/>
    <w:rsid w:val="00447DFE"/>
    <w:rsid w:val="00462057"/>
    <w:rsid w:val="00462784"/>
    <w:rsid w:val="004653D8"/>
    <w:rsid w:val="004906E1"/>
    <w:rsid w:val="00493C4F"/>
    <w:rsid w:val="004A4AE3"/>
    <w:rsid w:val="004A6A0F"/>
    <w:rsid w:val="004C543F"/>
    <w:rsid w:val="004D0D22"/>
    <w:rsid w:val="004D1C4C"/>
    <w:rsid w:val="004D32E0"/>
    <w:rsid w:val="004D4CD3"/>
    <w:rsid w:val="004D5A55"/>
    <w:rsid w:val="004D785E"/>
    <w:rsid w:val="004F2F89"/>
    <w:rsid w:val="004F7159"/>
    <w:rsid w:val="00512B41"/>
    <w:rsid w:val="00512CC2"/>
    <w:rsid w:val="00514304"/>
    <w:rsid w:val="0051775A"/>
    <w:rsid w:val="0052001E"/>
    <w:rsid w:val="00523665"/>
    <w:rsid w:val="00530258"/>
    <w:rsid w:val="005350DA"/>
    <w:rsid w:val="00537A35"/>
    <w:rsid w:val="005447A7"/>
    <w:rsid w:val="005627AD"/>
    <w:rsid w:val="005635D0"/>
    <w:rsid w:val="0056544A"/>
    <w:rsid w:val="00567F1F"/>
    <w:rsid w:val="00573348"/>
    <w:rsid w:val="005769DE"/>
    <w:rsid w:val="00582F47"/>
    <w:rsid w:val="00584239"/>
    <w:rsid w:val="00587141"/>
    <w:rsid w:val="00590924"/>
    <w:rsid w:val="00592BAE"/>
    <w:rsid w:val="005B2FAD"/>
    <w:rsid w:val="005B7BB2"/>
    <w:rsid w:val="005C298A"/>
    <w:rsid w:val="005C5C24"/>
    <w:rsid w:val="005C6EEB"/>
    <w:rsid w:val="005E3A6B"/>
    <w:rsid w:val="005F5E51"/>
    <w:rsid w:val="005F6082"/>
    <w:rsid w:val="00616D55"/>
    <w:rsid w:val="00621DC2"/>
    <w:rsid w:val="0062340C"/>
    <w:rsid w:val="00623781"/>
    <w:rsid w:val="006279EC"/>
    <w:rsid w:val="00630DDD"/>
    <w:rsid w:val="00633E5F"/>
    <w:rsid w:val="006342E6"/>
    <w:rsid w:val="00634DBA"/>
    <w:rsid w:val="00635093"/>
    <w:rsid w:val="00636BDB"/>
    <w:rsid w:val="006408A0"/>
    <w:rsid w:val="00650EEA"/>
    <w:rsid w:val="0066153A"/>
    <w:rsid w:val="006623DB"/>
    <w:rsid w:val="00663109"/>
    <w:rsid w:val="00664831"/>
    <w:rsid w:val="00671B19"/>
    <w:rsid w:val="00677D9B"/>
    <w:rsid w:val="00680392"/>
    <w:rsid w:val="00685C6D"/>
    <w:rsid w:val="006942BF"/>
    <w:rsid w:val="006A2893"/>
    <w:rsid w:val="006A7EE2"/>
    <w:rsid w:val="006B4B46"/>
    <w:rsid w:val="006C58E3"/>
    <w:rsid w:val="006C590F"/>
    <w:rsid w:val="006D50FC"/>
    <w:rsid w:val="006D5A61"/>
    <w:rsid w:val="006D5C47"/>
    <w:rsid w:val="006D692B"/>
    <w:rsid w:val="006E3D6D"/>
    <w:rsid w:val="006E5B68"/>
    <w:rsid w:val="006F1364"/>
    <w:rsid w:val="007028A7"/>
    <w:rsid w:val="00711BDA"/>
    <w:rsid w:val="007164DD"/>
    <w:rsid w:val="00717D45"/>
    <w:rsid w:val="00720A78"/>
    <w:rsid w:val="00722DE2"/>
    <w:rsid w:val="00723641"/>
    <w:rsid w:val="00724272"/>
    <w:rsid w:val="00741558"/>
    <w:rsid w:val="00746D3B"/>
    <w:rsid w:val="00757F4F"/>
    <w:rsid w:val="00770FFB"/>
    <w:rsid w:val="007779C0"/>
    <w:rsid w:val="007844AA"/>
    <w:rsid w:val="00787904"/>
    <w:rsid w:val="007A08DD"/>
    <w:rsid w:val="007A5ED2"/>
    <w:rsid w:val="007C7BE9"/>
    <w:rsid w:val="007D13FB"/>
    <w:rsid w:val="007D296D"/>
    <w:rsid w:val="007E4955"/>
    <w:rsid w:val="007E6350"/>
    <w:rsid w:val="007E7D63"/>
    <w:rsid w:val="007F1B51"/>
    <w:rsid w:val="00807640"/>
    <w:rsid w:val="00807728"/>
    <w:rsid w:val="0081101D"/>
    <w:rsid w:val="008122B6"/>
    <w:rsid w:val="00815D9E"/>
    <w:rsid w:val="00816FCD"/>
    <w:rsid w:val="0083127F"/>
    <w:rsid w:val="008313EB"/>
    <w:rsid w:val="008321C4"/>
    <w:rsid w:val="0083237E"/>
    <w:rsid w:val="0084325B"/>
    <w:rsid w:val="00850CBD"/>
    <w:rsid w:val="008537C7"/>
    <w:rsid w:val="00862C65"/>
    <w:rsid w:val="0087043B"/>
    <w:rsid w:val="008773BE"/>
    <w:rsid w:val="008819AE"/>
    <w:rsid w:val="00883829"/>
    <w:rsid w:val="008860BA"/>
    <w:rsid w:val="00892523"/>
    <w:rsid w:val="00896283"/>
    <w:rsid w:val="008A343D"/>
    <w:rsid w:val="008B2BEC"/>
    <w:rsid w:val="008C2F9C"/>
    <w:rsid w:val="008D3CE2"/>
    <w:rsid w:val="008D70FC"/>
    <w:rsid w:val="008D7C9E"/>
    <w:rsid w:val="009036B2"/>
    <w:rsid w:val="00911976"/>
    <w:rsid w:val="009124DB"/>
    <w:rsid w:val="0091574B"/>
    <w:rsid w:val="009167BF"/>
    <w:rsid w:val="00920759"/>
    <w:rsid w:val="00921155"/>
    <w:rsid w:val="0092334B"/>
    <w:rsid w:val="009309BD"/>
    <w:rsid w:val="00932DFB"/>
    <w:rsid w:val="00944E40"/>
    <w:rsid w:val="00955A1C"/>
    <w:rsid w:val="00957A66"/>
    <w:rsid w:val="0096599A"/>
    <w:rsid w:val="00971654"/>
    <w:rsid w:val="00975471"/>
    <w:rsid w:val="00975489"/>
    <w:rsid w:val="00983088"/>
    <w:rsid w:val="009874DF"/>
    <w:rsid w:val="00990C60"/>
    <w:rsid w:val="009C4A88"/>
    <w:rsid w:val="009D3C97"/>
    <w:rsid w:val="009D6DDE"/>
    <w:rsid w:val="009E1EE0"/>
    <w:rsid w:val="009E1FED"/>
    <w:rsid w:val="009E26A4"/>
    <w:rsid w:val="009E43D0"/>
    <w:rsid w:val="009F103E"/>
    <w:rsid w:val="009F28A8"/>
    <w:rsid w:val="00A04356"/>
    <w:rsid w:val="00A2546B"/>
    <w:rsid w:val="00A40FB4"/>
    <w:rsid w:val="00A44680"/>
    <w:rsid w:val="00A5322F"/>
    <w:rsid w:val="00A66169"/>
    <w:rsid w:val="00A7292C"/>
    <w:rsid w:val="00A77301"/>
    <w:rsid w:val="00A85C5E"/>
    <w:rsid w:val="00A86B64"/>
    <w:rsid w:val="00A87778"/>
    <w:rsid w:val="00AA05FD"/>
    <w:rsid w:val="00AA14F5"/>
    <w:rsid w:val="00AA21F0"/>
    <w:rsid w:val="00AA7FFA"/>
    <w:rsid w:val="00AC32D4"/>
    <w:rsid w:val="00AC4467"/>
    <w:rsid w:val="00AD24D5"/>
    <w:rsid w:val="00AD3125"/>
    <w:rsid w:val="00AD6F8F"/>
    <w:rsid w:val="00AF49FC"/>
    <w:rsid w:val="00AF4BBA"/>
    <w:rsid w:val="00AF7005"/>
    <w:rsid w:val="00B0033F"/>
    <w:rsid w:val="00B00826"/>
    <w:rsid w:val="00B03E49"/>
    <w:rsid w:val="00B06E0D"/>
    <w:rsid w:val="00B07903"/>
    <w:rsid w:val="00B13A48"/>
    <w:rsid w:val="00B16197"/>
    <w:rsid w:val="00B34F20"/>
    <w:rsid w:val="00B401D0"/>
    <w:rsid w:val="00B41019"/>
    <w:rsid w:val="00B42C80"/>
    <w:rsid w:val="00B471E3"/>
    <w:rsid w:val="00B557BA"/>
    <w:rsid w:val="00B56616"/>
    <w:rsid w:val="00B56D21"/>
    <w:rsid w:val="00B61222"/>
    <w:rsid w:val="00B66351"/>
    <w:rsid w:val="00B74A4A"/>
    <w:rsid w:val="00B76664"/>
    <w:rsid w:val="00B7756F"/>
    <w:rsid w:val="00B81A0D"/>
    <w:rsid w:val="00B90001"/>
    <w:rsid w:val="00B95CCB"/>
    <w:rsid w:val="00BB018D"/>
    <w:rsid w:val="00BB4FA4"/>
    <w:rsid w:val="00BB55CA"/>
    <w:rsid w:val="00BB628C"/>
    <w:rsid w:val="00BB77EF"/>
    <w:rsid w:val="00BC39F7"/>
    <w:rsid w:val="00BD0576"/>
    <w:rsid w:val="00BE1D5A"/>
    <w:rsid w:val="00BE26C9"/>
    <w:rsid w:val="00BE44B1"/>
    <w:rsid w:val="00BE5485"/>
    <w:rsid w:val="00BE7254"/>
    <w:rsid w:val="00BF7262"/>
    <w:rsid w:val="00C00310"/>
    <w:rsid w:val="00C07A63"/>
    <w:rsid w:val="00C10158"/>
    <w:rsid w:val="00C1191B"/>
    <w:rsid w:val="00C20E40"/>
    <w:rsid w:val="00C32B74"/>
    <w:rsid w:val="00C36C9E"/>
    <w:rsid w:val="00C503CD"/>
    <w:rsid w:val="00C57175"/>
    <w:rsid w:val="00C7065D"/>
    <w:rsid w:val="00C74C08"/>
    <w:rsid w:val="00C7788E"/>
    <w:rsid w:val="00C80E1C"/>
    <w:rsid w:val="00C82B92"/>
    <w:rsid w:val="00C91477"/>
    <w:rsid w:val="00C93A8E"/>
    <w:rsid w:val="00C948E1"/>
    <w:rsid w:val="00C96AA1"/>
    <w:rsid w:val="00CB332B"/>
    <w:rsid w:val="00CB7656"/>
    <w:rsid w:val="00CC3E27"/>
    <w:rsid w:val="00CD52D2"/>
    <w:rsid w:val="00CF62A6"/>
    <w:rsid w:val="00D03D7F"/>
    <w:rsid w:val="00D04969"/>
    <w:rsid w:val="00D07898"/>
    <w:rsid w:val="00D137E3"/>
    <w:rsid w:val="00D14052"/>
    <w:rsid w:val="00D14ECD"/>
    <w:rsid w:val="00D2533B"/>
    <w:rsid w:val="00D253DC"/>
    <w:rsid w:val="00D33A4A"/>
    <w:rsid w:val="00D36A7D"/>
    <w:rsid w:val="00D427CF"/>
    <w:rsid w:val="00D6202E"/>
    <w:rsid w:val="00D66FA1"/>
    <w:rsid w:val="00D71275"/>
    <w:rsid w:val="00D73E6D"/>
    <w:rsid w:val="00D764A9"/>
    <w:rsid w:val="00D76C6A"/>
    <w:rsid w:val="00D8684E"/>
    <w:rsid w:val="00D86F87"/>
    <w:rsid w:val="00D87610"/>
    <w:rsid w:val="00D93A0A"/>
    <w:rsid w:val="00DA57DD"/>
    <w:rsid w:val="00DB2830"/>
    <w:rsid w:val="00DB48E6"/>
    <w:rsid w:val="00DB57A6"/>
    <w:rsid w:val="00DB5EFF"/>
    <w:rsid w:val="00DC1BB4"/>
    <w:rsid w:val="00DC2E14"/>
    <w:rsid w:val="00DC6C28"/>
    <w:rsid w:val="00DE3A53"/>
    <w:rsid w:val="00E01381"/>
    <w:rsid w:val="00E02B15"/>
    <w:rsid w:val="00E134C4"/>
    <w:rsid w:val="00E17CFD"/>
    <w:rsid w:val="00E21B28"/>
    <w:rsid w:val="00E26080"/>
    <w:rsid w:val="00E26BE8"/>
    <w:rsid w:val="00E33167"/>
    <w:rsid w:val="00E33E06"/>
    <w:rsid w:val="00E477FA"/>
    <w:rsid w:val="00E63B20"/>
    <w:rsid w:val="00E67C03"/>
    <w:rsid w:val="00E74834"/>
    <w:rsid w:val="00E75105"/>
    <w:rsid w:val="00E77A53"/>
    <w:rsid w:val="00E87919"/>
    <w:rsid w:val="00E87AF5"/>
    <w:rsid w:val="00E90CC1"/>
    <w:rsid w:val="00E926FE"/>
    <w:rsid w:val="00E9399A"/>
    <w:rsid w:val="00E95DE7"/>
    <w:rsid w:val="00EA4DEF"/>
    <w:rsid w:val="00EC1C0C"/>
    <w:rsid w:val="00EC2D91"/>
    <w:rsid w:val="00ED30B4"/>
    <w:rsid w:val="00EE034D"/>
    <w:rsid w:val="00EE07BF"/>
    <w:rsid w:val="00EE0C93"/>
    <w:rsid w:val="00EE5036"/>
    <w:rsid w:val="00EE623D"/>
    <w:rsid w:val="00F00DE7"/>
    <w:rsid w:val="00F01272"/>
    <w:rsid w:val="00F01C53"/>
    <w:rsid w:val="00F02DD3"/>
    <w:rsid w:val="00F238B0"/>
    <w:rsid w:val="00F30B49"/>
    <w:rsid w:val="00F320F6"/>
    <w:rsid w:val="00F42166"/>
    <w:rsid w:val="00F533D3"/>
    <w:rsid w:val="00F54809"/>
    <w:rsid w:val="00F60886"/>
    <w:rsid w:val="00F60E81"/>
    <w:rsid w:val="00F6134D"/>
    <w:rsid w:val="00F63E7C"/>
    <w:rsid w:val="00F67EF1"/>
    <w:rsid w:val="00F746DF"/>
    <w:rsid w:val="00F75CAF"/>
    <w:rsid w:val="00F82668"/>
    <w:rsid w:val="00F8329C"/>
    <w:rsid w:val="00F84604"/>
    <w:rsid w:val="00F86F5C"/>
    <w:rsid w:val="00F900C5"/>
    <w:rsid w:val="00FA172F"/>
    <w:rsid w:val="00FA4FAD"/>
    <w:rsid w:val="00FA5D2A"/>
    <w:rsid w:val="00FB0592"/>
    <w:rsid w:val="00FB4424"/>
    <w:rsid w:val="00FB7461"/>
    <w:rsid w:val="00FC53B9"/>
    <w:rsid w:val="00FD557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A4"/>
  </w:style>
  <w:style w:type="paragraph" w:styleId="Heading1">
    <w:name w:val="heading 1"/>
    <w:aliases w:val="Section,Chapter Hdg,Oscar Faber 1,New Section,Outline1,Section Heading,Economics Section Heading,Economics Section,Unnumbered 1,Numbered 1,Heading X,AngleHead1,head,H1,1 ghost,g,h1,Heading,chapter heading,ADVICE 1,Headline 1,first,OSS2,Char1"/>
    <w:basedOn w:val="Normal"/>
    <w:next w:val="Heading2"/>
    <w:link w:val="Heading1Char"/>
    <w:qFormat/>
    <w:rsid w:val="00787904"/>
    <w:pPr>
      <w:keepNext/>
      <w:numPr>
        <w:numId w:val="22"/>
      </w:numPr>
      <w:spacing w:after="160" w:line="240" w:lineRule="auto"/>
      <w:outlineLvl w:val="0"/>
    </w:pPr>
    <w:rPr>
      <w:rFonts w:ascii="Calibri" w:eastAsia="Times New Roman" w:hAnsi="Calibri" w:cs="Times New Roman"/>
      <w:color w:val="008B98"/>
      <w:kern w:val="28"/>
      <w:sz w:val="36"/>
      <w:szCs w:val="24"/>
      <w:lang w:eastAsia="en-US"/>
    </w:rPr>
  </w:style>
  <w:style w:type="paragraph" w:styleId="Heading2">
    <w:name w:val="heading 2"/>
    <w:aliases w:val="Paragraph,Para Nos,Sub Heading,Numbered - 2,ignorer2,Paragraph1,Oscar Faber 2,Main Heading,Main Headi,Outline2,RR level 2,HAA-Section,Major,Reset numbering,Heading 2 Char1 Char,Heading 2 Char Char Char,Para,level 1 subhead,h2,Ma"/>
    <w:basedOn w:val="Normal"/>
    <w:link w:val="Heading2Char1"/>
    <w:qFormat/>
    <w:rsid w:val="00787904"/>
    <w:pPr>
      <w:widowControl w:val="0"/>
      <w:numPr>
        <w:ilvl w:val="1"/>
        <w:numId w:val="22"/>
      </w:numPr>
      <w:spacing w:before="160" w:after="160" w:line="280" w:lineRule="atLeast"/>
      <w:jc w:val="both"/>
      <w:outlineLvl w:val="1"/>
    </w:pPr>
    <w:rPr>
      <w:rFonts w:ascii="Calibri" w:eastAsia="ArialMT" w:hAnsi="Calibri" w:cs="Times New Roman"/>
      <w:szCs w:val="24"/>
    </w:rPr>
  </w:style>
  <w:style w:type="paragraph" w:styleId="Heading5">
    <w:name w:val="heading 5"/>
    <w:aliases w:val="Level 3 - i,Do Not Use 5,Bold &amp; Italic,paragraph,Economics Bullets,D Head,Blank 1,paragraph Char, Bold &amp; Italic"/>
    <w:basedOn w:val="Normal"/>
    <w:next w:val="Normal"/>
    <w:link w:val="Heading5Char"/>
    <w:qFormat/>
    <w:rsid w:val="00787904"/>
    <w:pPr>
      <w:widowControl w:val="0"/>
      <w:numPr>
        <w:ilvl w:val="4"/>
        <w:numId w:val="22"/>
      </w:numPr>
      <w:spacing w:before="160" w:after="160" w:line="240" w:lineRule="auto"/>
      <w:outlineLvl w:val="4"/>
    </w:pPr>
    <w:rPr>
      <w:rFonts w:ascii="Calibri" w:eastAsia="Times New Roman" w:hAnsi="Calibri" w:cs="Times New Roman"/>
      <w:b/>
      <w:i/>
      <w:szCs w:val="20"/>
      <w:lang w:eastAsia="en-US"/>
    </w:rPr>
  </w:style>
  <w:style w:type="paragraph" w:styleId="Heading6">
    <w:name w:val="heading 6"/>
    <w:aliases w:val="Legal Level 1.,Economics Bullets 2,level 1 bullet,Blank 2,summary"/>
    <w:basedOn w:val="Normal"/>
    <w:next w:val="Normal"/>
    <w:link w:val="Heading6Char"/>
    <w:qFormat/>
    <w:rsid w:val="00787904"/>
    <w:pPr>
      <w:numPr>
        <w:ilvl w:val="5"/>
        <w:numId w:val="22"/>
      </w:numPr>
      <w:spacing w:before="240" w:after="60" w:line="240" w:lineRule="auto"/>
      <w:outlineLvl w:val="5"/>
    </w:pPr>
    <w:rPr>
      <w:rFonts w:ascii="Calibri" w:eastAsia="Times New Roman" w:hAnsi="Calibri" w:cs="Times New Roman"/>
      <w:i/>
      <w:szCs w:val="24"/>
      <w:lang w:eastAsia="en-US"/>
    </w:rPr>
  </w:style>
  <w:style w:type="paragraph" w:styleId="Heading7">
    <w:name w:val="heading 7"/>
    <w:aliases w:val="Legal Level 1.1.,Economics List (i),level 2 bullets,Blank 3,Bullet 2"/>
    <w:basedOn w:val="Normal"/>
    <w:next w:val="Normal"/>
    <w:link w:val="Heading7Char"/>
    <w:qFormat/>
    <w:rsid w:val="00787904"/>
    <w:pPr>
      <w:numPr>
        <w:ilvl w:val="6"/>
        <w:numId w:val="22"/>
      </w:numPr>
      <w:spacing w:before="240" w:after="60" w:line="240" w:lineRule="auto"/>
      <w:outlineLvl w:val="6"/>
    </w:pPr>
    <w:rPr>
      <w:rFonts w:ascii="Calibri" w:eastAsia="Times New Roman" w:hAnsi="Calibri" w:cs="Times New Roman"/>
      <w:szCs w:val="24"/>
      <w:lang w:eastAsia="en-US"/>
    </w:rPr>
  </w:style>
  <w:style w:type="paragraph" w:styleId="Heading8">
    <w:name w:val="heading 8"/>
    <w:aliases w:val="Legal Level 1.1.1.,Economics List (a),level 3 bullets,Blank 4,Bullet 3"/>
    <w:basedOn w:val="Normal"/>
    <w:next w:val="Normal"/>
    <w:link w:val="Heading8Char"/>
    <w:qFormat/>
    <w:rsid w:val="00787904"/>
    <w:pPr>
      <w:numPr>
        <w:ilvl w:val="7"/>
        <w:numId w:val="22"/>
      </w:numPr>
      <w:spacing w:before="240" w:after="60" w:line="240" w:lineRule="auto"/>
      <w:outlineLvl w:val="7"/>
    </w:pPr>
    <w:rPr>
      <w:rFonts w:ascii="Calibri" w:eastAsia="Times New Roman" w:hAnsi="Calibri" w:cs="Times New Roman"/>
      <w:i/>
      <w:szCs w:val="24"/>
      <w:lang w:eastAsia="en-US"/>
    </w:rPr>
  </w:style>
  <w:style w:type="paragraph" w:styleId="Heading9">
    <w:name w:val="heading 9"/>
    <w:aliases w:val="Legal Level 1.1.1.1.,Blank 5"/>
    <w:basedOn w:val="Normal"/>
    <w:next w:val="Normal"/>
    <w:link w:val="Heading9Char"/>
    <w:qFormat/>
    <w:rsid w:val="00787904"/>
    <w:pPr>
      <w:numPr>
        <w:ilvl w:val="8"/>
        <w:numId w:val="22"/>
      </w:numPr>
      <w:spacing w:before="240" w:after="60" w:line="240" w:lineRule="auto"/>
      <w:outlineLvl w:val="8"/>
    </w:pPr>
    <w:rPr>
      <w:rFonts w:ascii="Calibri" w:eastAsia="Times New Roman" w:hAnsi="Calibri" w:cs="Times New Roman"/>
      <w:i/>
      <w:sz w:val="18"/>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6F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06FE5"/>
    <w:pPr>
      <w:ind w:left="720"/>
      <w:contextualSpacing/>
    </w:pPr>
  </w:style>
  <w:style w:type="character" w:styleId="PlaceholderText">
    <w:name w:val="Placeholder Text"/>
    <w:basedOn w:val="DefaultParagraphFont"/>
    <w:uiPriority w:val="99"/>
    <w:semiHidden/>
    <w:rsid w:val="009F103E"/>
    <w:rPr>
      <w:color w:val="808080"/>
    </w:rPr>
  </w:style>
  <w:style w:type="paragraph" w:styleId="BalloonText">
    <w:name w:val="Balloon Text"/>
    <w:basedOn w:val="Normal"/>
    <w:link w:val="BalloonTextChar"/>
    <w:uiPriority w:val="99"/>
    <w:semiHidden/>
    <w:unhideWhenUsed/>
    <w:rsid w:val="009F10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03E"/>
    <w:rPr>
      <w:rFonts w:ascii="Tahoma" w:hAnsi="Tahoma" w:cs="Tahoma"/>
      <w:sz w:val="16"/>
      <w:szCs w:val="16"/>
    </w:rPr>
  </w:style>
  <w:style w:type="character" w:styleId="Hyperlink">
    <w:name w:val="Hyperlink"/>
    <w:basedOn w:val="DefaultParagraphFont"/>
    <w:uiPriority w:val="99"/>
    <w:unhideWhenUsed/>
    <w:rsid w:val="00757F4F"/>
    <w:rPr>
      <w:color w:val="0000FF" w:themeColor="hyperlink"/>
      <w:u w:val="single"/>
    </w:rPr>
  </w:style>
  <w:style w:type="character" w:styleId="CommentReference">
    <w:name w:val="annotation reference"/>
    <w:basedOn w:val="DefaultParagraphFont"/>
    <w:uiPriority w:val="99"/>
    <w:semiHidden/>
    <w:unhideWhenUsed/>
    <w:rsid w:val="00AD3125"/>
    <w:rPr>
      <w:sz w:val="16"/>
      <w:szCs w:val="16"/>
    </w:rPr>
  </w:style>
  <w:style w:type="paragraph" w:styleId="CommentText">
    <w:name w:val="annotation text"/>
    <w:basedOn w:val="Normal"/>
    <w:link w:val="CommentTextChar"/>
    <w:uiPriority w:val="99"/>
    <w:semiHidden/>
    <w:unhideWhenUsed/>
    <w:rsid w:val="00AD3125"/>
    <w:pPr>
      <w:spacing w:line="240" w:lineRule="auto"/>
    </w:pPr>
    <w:rPr>
      <w:sz w:val="20"/>
      <w:szCs w:val="20"/>
    </w:rPr>
  </w:style>
  <w:style w:type="character" w:customStyle="1" w:styleId="CommentTextChar">
    <w:name w:val="Comment Text Char"/>
    <w:basedOn w:val="DefaultParagraphFont"/>
    <w:link w:val="CommentText"/>
    <w:uiPriority w:val="99"/>
    <w:semiHidden/>
    <w:rsid w:val="00AD3125"/>
    <w:rPr>
      <w:sz w:val="20"/>
      <w:szCs w:val="20"/>
    </w:rPr>
  </w:style>
  <w:style w:type="paragraph" w:styleId="CommentSubject">
    <w:name w:val="annotation subject"/>
    <w:basedOn w:val="CommentText"/>
    <w:next w:val="CommentText"/>
    <w:link w:val="CommentSubjectChar"/>
    <w:uiPriority w:val="99"/>
    <w:semiHidden/>
    <w:unhideWhenUsed/>
    <w:rsid w:val="00AD3125"/>
    <w:rPr>
      <w:b/>
      <w:bCs/>
    </w:rPr>
  </w:style>
  <w:style w:type="character" w:customStyle="1" w:styleId="CommentSubjectChar">
    <w:name w:val="Comment Subject Char"/>
    <w:basedOn w:val="CommentTextChar"/>
    <w:link w:val="CommentSubject"/>
    <w:uiPriority w:val="99"/>
    <w:semiHidden/>
    <w:rsid w:val="00AD3125"/>
    <w:rPr>
      <w:b/>
      <w:bCs/>
      <w:sz w:val="20"/>
      <w:szCs w:val="20"/>
    </w:rPr>
  </w:style>
  <w:style w:type="paragraph" w:styleId="NoSpacing">
    <w:name w:val="No Spacing"/>
    <w:uiPriority w:val="1"/>
    <w:qFormat/>
    <w:rsid w:val="00C7065D"/>
    <w:pPr>
      <w:spacing w:after="0" w:line="240" w:lineRule="auto"/>
    </w:pPr>
  </w:style>
  <w:style w:type="paragraph" w:styleId="Header">
    <w:name w:val="header"/>
    <w:basedOn w:val="Normal"/>
    <w:link w:val="HeaderChar"/>
    <w:uiPriority w:val="99"/>
    <w:unhideWhenUsed/>
    <w:rsid w:val="00285C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5CEE"/>
  </w:style>
  <w:style w:type="paragraph" w:styleId="Footer">
    <w:name w:val="footer"/>
    <w:basedOn w:val="Normal"/>
    <w:link w:val="FooterChar"/>
    <w:uiPriority w:val="99"/>
    <w:unhideWhenUsed/>
    <w:rsid w:val="00285C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5CEE"/>
  </w:style>
  <w:style w:type="paragraph" w:customStyle="1" w:styleId="Default">
    <w:name w:val="Default"/>
    <w:rsid w:val="00462057"/>
    <w:pPr>
      <w:autoSpaceDE w:val="0"/>
      <w:autoSpaceDN w:val="0"/>
      <w:adjustRightInd w:val="0"/>
      <w:spacing w:after="0" w:line="240" w:lineRule="auto"/>
    </w:pPr>
    <w:rPr>
      <w:rFonts w:ascii="Arial" w:eastAsia="Times New Roman" w:hAnsi="Arial" w:cs="Arial"/>
      <w:color w:val="000000"/>
      <w:sz w:val="24"/>
      <w:szCs w:val="24"/>
    </w:rPr>
  </w:style>
  <w:style w:type="paragraph" w:styleId="NormalWeb">
    <w:name w:val="Normal (Web)"/>
    <w:basedOn w:val="Normal"/>
    <w:uiPriority w:val="99"/>
    <w:semiHidden/>
    <w:unhideWhenUsed/>
    <w:rsid w:val="000E6E9B"/>
    <w:pPr>
      <w:spacing w:after="0" w:line="240" w:lineRule="auto"/>
      <w:textAlignment w:val="baseline"/>
    </w:pPr>
    <w:rPr>
      <w:rFonts w:ascii="Times New Roman" w:eastAsia="Times New Roman" w:hAnsi="Times New Roman" w:cs="Times New Roman"/>
      <w:sz w:val="24"/>
      <w:szCs w:val="24"/>
    </w:rPr>
  </w:style>
  <w:style w:type="character" w:styleId="Strong">
    <w:name w:val="Strong"/>
    <w:basedOn w:val="DefaultParagraphFont"/>
    <w:uiPriority w:val="22"/>
    <w:qFormat/>
    <w:rsid w:val="000E6E9B"/>
    <w:rPr>
      <w:b/>
      <w:bCs/>
      <w:sz w:val="24"/>
      <w:szCs w:val="24"/>
      <w:bdr w:val="none" w:sz="0" w:space="0" w:color="auto" w:frame="1"/>
      <w:vertAlign w:val="baseline"/>
    </w:rPr>
  </w:style>
  <w:style w:type="character" w:customStyle="1" w:styleId="Heading1Char">
    <w:name w:val="Heading 1 Char"/>
    <w:aliases w:val="Section Char,Chapter Hdg Char,Oscar Faber 1 Char,New Section Char,Outline1 Char,Section Heading Char,Economics Section Heading Char,Economics Section Char,Unnumbered 1 Char,Numbered 1 Char,Heading X Char,AngleHead1 Char,head Char,H1 Char"/>
    <w:basedOn w:val="DefaultParagraphFont"/>
    <w:link w:val="Heading1"/>
    <w:rsid w:val="00787904"/>
    <w:rPr>
      <w:rFonts w:ascii="Calibri" w:eastAsia="Times New Roman" w:hAnsi="Calibri" w:cs="Times New Roman"/>
      <w:color w:val="008B98"/>
      <w:kern w:val="28"/>
      <w:sz w:val="36"/>
      <w:szCs w:val="24"/>
      <w:lang w:eastAsia="en-US"/>
    </w:rPr>
  </w:style>
  <w:style w:type="character" w:customStyle="1" w:styleId="Heading2Char">
    <w:name w:val="Heading 2 Char"/>
    <w:basedOn w:val="DefaultParagraphFont"/>
    <w:uiPriority w:val="9"/>
    <w:semiHidden/>
    <w:rsid w:val="00787904"/>
    <w:rPr>
      <w:rFonts w:asciiTheme="majorHAnsi" w:eastAsiaTheme="majorEastAsia" w:hAnsiTheme="majorHAnsi" w:cstheme="majorBidi"/>
      <w:color w:val="365F91" w:themeColor="accent1" w:themeShade="BF"/>
      <w:sz w:val="26"/>
      <w:szCs w:val="26"/>
    </w:rPr>
  </w:style>
  <w:style w:type="character" w:customStyle="1" w:styleId="Heading5Char">
    <w:name w:val="Heading 5 Char"/>
    <w:aliases w:val="Level 3 - i Char,Do Not Use 5 Char,Bold &amp; Italic Char,paragraph Char1,Economics Bullets Char,D Head Char,Blank 1 Char,paragraph Char Char, Bold &amp; Italic Char"/>
    <w:basedOn w:val="DefaultParagraphFont"/>
    <w:link w:val="Heading5"/>
    <w:rsid w:val="00787904"/>
    <w:rPr>
      <w:rFonts w:ascii="Calibri" w:eastAsia="Times New Roman" w:hAnsi="Calibri" w:cs="Times New Roman"/>
      <w:b/>
      <w:i/>
      <w:szCs w:val="20"/>
      <w:lang w:eastAsia="en-US"/>
    </w:rPr>
  </w:style>
  <w:style w:type="character" w:customStyle="1" w:styleId="Heading6Char">
    <w:name w:val="Heading 6 Char"/>
    <w:aliases w:val="Legal Level 1. Char,Economics Bullets 2 Char,level 1 bullet Char,Blank 2 Char,summary Char"/>
    <w:basedOn w:val="DefaultParagraphFont"/>
    <w:link w:val="Heading6"/>
    <w:rsid w:val="00787904"/>
    <w:rPr>
      <w:rFonts w:ascii="Calibri" w:eastAsia="Times New Roman" w:hAnsi="Calibri" w:cs="Times New Roman"/>
      <w:i/>
      <w:szCs w:val="24"/>
      <w:lang w:eastAsia="en-US"/>
    </w:rPr>
  </w:style>
  <w:style w:type="character" w:customStyle="1" w:styleId="Heading7Char">
    <w:name w:val="Heading 7 Char"/>
    <w:aliases w:val="Legal Level 1.1. Char,Economics List (i) Char,level 2 bullets Char,Blank 3 Char,Bullet 2 Char"/>
    <w:basedOn w:val="DefaultParagraphFont"/>
    <w:link w:val="Heading7"/>
    <w:rsid w:val="00787904"/>
    <w:rPr>
      <w:rFonts w:ascii="Calibri" w:eastAsia="Times New Roman" w:hAnsi="Calibri" w:cs="Times New Roman"/>
      <w:szCs w:val="24"/>
      <w:lang w:eastAsia="en-US"/>
    </w:rPr>
  </w:style>
  <w:style w:type="character" w:customStyle="1" w:styleId="Heading8Char">
    <w:name w:val="Heading 8 Char"/>
    <w:aliases w:val="Legal Level 1.1.1. Char,Economics List (a) Char,level 3 bullets Char,Blank 4 Char,Bullet 3 Char"/>
    <w:basedOn w:val="DefaultParagraphFont"/>
    <w:link w:val="Heading8"/>
    <w:rsid w:val="00787904"/>
    <w:rPr>
      <w:rFonts w:ascii="Calibri" w:eastAsia="Times New Roman" w:hAnsi="Calibri" w:cs="Times New Roman"/>
      <w:i/>
      <w:szCs w:val="24"/>
      <w:lang w:eastAsia="en-US"/>
    </w:rPr>
  </w:style>
  <w:style w:type="character" w:customStyle="1" w:styleId="Heading9Char">
    <w:name w:val="Heading 9 Char"/>
    <w:aliases w:val="Legal Level 1.1.1.1. Char,Blank 5 Char"/>
    <w:basedOn w:val="DefaultParagraphFont"/>
    <w:link w:val="Heading9"/>
    <w:rsid w:val="00787904"/>
    <w:rPr>
      <w:rFonts w:ascii="Calibri" w:eastAsia="Times New Roman" w:hAnsi="Calibri" w:cs="Times New Roman"/>
      <w:i/>
      <w:sz w:val="18"/>
      <w:szCs w:val="24"/>
      <w:lang w:eastAsia="en-US"/>
    </w:rPr>
  </w:style>
  <w:style w:type="character" w:customStyle="1" w:styleId="Heading2Char1">
    <w:name w:val="Heading 2 Char1"/>
    <w:aliases w:val="Paragraph Char,Para Nos Char,Sub Heading Char,Numbered - 2 Char,ignorer2 Char,Paragraph1 Char,Oscar Faber 2 Char,Main Heading Char,Main Headi Char,Outline2 Char,RR level 2 Char,HAA-Section Char,Major Char,Reset numbering Char,Para Char"/>
    <w:basedOn w:val="DefaultParagraphFont"/>
    <w:link w:val="Heading2"/>
    <w:rsid w:val="00787904"/>
    <w:rPr>
      <w:rFonts w:ascii="Calibri" w:eastAsia="ArialMT" w:hAnsi="Calibri" w:cs="Times New Roman"/>
      <w:szCs w:val="24"/>
    </w:rPr>
  </w:style>
</w:styles>
</file>

<file path=word/webSettings.xml><?xml version="1.0" encoding="utf-8"?>
<w:webSettings xmlns:r="http://schemas.openxmlformats.org/officeDocument/2006/relationships" xmlns:w="http://schemas.openxmlformats.org/wordprocessingml/2006/main">
  <w:divs>
    <w:div w:id="292833225">
      <w:bodyDiv w:val="1"/>
      <w:marLeft w:val="0"/>
      <w:marRight w:val="0"/>
      <w:marTop w:val="0"/>
      <w:marBottom w:val="0"/>
      <w:divBdr>
        <w:top w:val="none" w:sz="0" w:space="0" w:color="auto"/>
        <w:left w:val="none" w:sz="0" w:space="0" w:color="auto"/>
        <w:bottom w:val="none" w:sz="0" w:space="0" w:color="auto"/>
        <w:right w:val="none" w:sz="0" w:space="0" w:color="auto"/>
      </w:divBdr>
      <w:divsChild>
        <w:div w:id="1233782638">
          <w:marLeft w:val="0"/>
          <w:marRight w:val="0"/>
          <w:marTop w:val="0"/>
          <w:marBottom w:val="0"/>
          <w:divBdr>
            <w:top w:val="none" w:sz="0" w:space="0" w:color="auto"/>
            <w:left w:val="none" w:sz="0" w:space="0" w:color="auto"/>
            <w:bottom w:val="none" w:sz="0" w:space="0" w:color="auto"/>
            <w:right w:val="none" w:sz="0" w:space="0" w:color="auto"/>
          </w:divBdr>
          <w:divsChild>
            <w:div w:id="1191256709">
              <w:marLeft w:val="0"/>
              <w:marRight w:val="0"/>
              <w:marTop w:val="0"/>
              <w:marBottom w:val="0"/>
              <w:divBdr>
                <w:top w:val="none" w:sz="0" w:space="0" w:color="auto"/>
                <w:left w:val="none" w:sz="0" w:space="0" w:color="auto"/>
                <w:bottom w:val="none" w:sz="0" w:space="0" w:color="auto"/>
                <w:right w:val="none" w:sz="0" w:space="0" w:color="auto"/>
              </w:divBdr>
              <w:divsChild>
                <w:div w:id="694884205">
                  <w:marLeft w:val="0"/>
                  <w:marRight w:val="0"/>
                  <w:marTop w:val="0"/>
                  <w:marBottom w:val="0"/>
                  <w:divBdr>
                    <w:top w:val="none" w:sz="0" w:space="0" w:color="auto"/>
                    <w:left w:val="none" w:sz="0" w:space="0" w:color="auto"/>
                    <w:bottom w:val="none" w:sz="0" w:space="0" w:color="auto"/>
                    <w:right w:val="none" w:sz="0" w:space="0" w:color="auto"/>
                  </w:divBdr>
                  <w:divsChild>
                    <w:div w:id="1492671839">
                      <w:marLeft w:val="0"/>
                      <w:marRight w:val="0"/>
                      <w:marTop w:val="0"/>
                      <w:marBottom w:val="0"/>
                      <w:divBdr>
                        <w:top w:val="none" w:sz="0" w:space="0" w:color="auto"/>
                        <w:left w:val="none" w:sz="0" w:space="0" w:color="auto"/>
                        <w:bottom w:val="none" w:sz="0" w:space="0" w:color="auto"/>
                        <w:right w:val="none" w:sz="0" w:space="0" w:color="auto"/>
                      </w:divBdr>
                      <w:divsChild>
                        <w:div w:id="1868180335">
                          <w:marLeft w:val="150"/>
                          <w:marRight w:val="150"/>
                          <w:marTop w:val="0"/>
                          <w:marBottom w:val="0"/>
                          <w:divBdr>
                            <w:top w:val="none" w:sz="0" w:space="0" w:color="auto"/>
                            <w:left w:val="none" w:sz="0" w:space="0" w:color="auto"/>
                            <w:bottom w:val="none" w:sz="0" w:space="0" w:color="auto"/>
                            <w:right w:val="none" w:sz="0" w:space="0" w:color="auto"/>
                          </w:divBdr>
                          <w:divsChild>
                            <w:div w:id="1706754111">
                              <w:marLeft w:val="0"/>
                              <w:marRight w:val="0"/>
                              <w:marTop w:val="0"/>
                              <w:marBottom w:val="0"/>
                              <w:divBdr>
                                <w:top w:val="none" w:sz="0" w:space="0" w:color="auto"/>
                                <w:left w:val="none" w:sz="0" w:space="0" w:color="auto"/>
                                <w:bottom w:val="none" w:sz="0" w:space="0" w:color="auto"/>
                                <w:right w:val="none" w:sz="0" w:space="0" w:color="auto"/>
                              </w:divBdr>
                              <w:divsChild>
                                <w:div w:id="988554108">
                                  <w:marLeft w:val="0"/>
                                  <w:marRight w:val="0"/>
                                  <w:marTop w:val="0"/>
                                  <w:marBottom w:val="0"/>
                                  <w:divBdr>
                                    <w:top w:val="none" w:sz="0" w:space="0" w:color="auto"/>
                                    <w:left w:val="none" w:sz="0" w:space="0" w:color="auto"/>
                                    <w:bottom w:val="none" w:sz="0" w:space="0" w:color="auto"/>
                                    <w:right w:val="none" w:sz="0" w:space="0" w:color="auto"/>
                                  </w:divBdr>
                                  <w:divsChild>
                                    <w:div w:id="644626577">
                                      <w:marLeft w:val="0"/>
                                      <w:marRight w:val="0"/>
                                      <w:marTop w:val="0"/>
                                      <w:marBottom w:val="0"/>
                                      <w:divBdr>
                                        <w:top w:val="none" w:sz="0" w:space="0" w:color="auto"/>
                                        <w:left w:val="none" w:sz="0" w:space="0" w:color="auto"/>
                                        <w:bottom w:val="none" w:sz="0" w:space="0" w:color="auto"/>
                                        <w:right w:val="none" w:sz="0" w:space="0" w:color="auto"/>
                                      </w:divBdr>
                                      <w:divsChild>
                                        <w:div w:id="13464038">
                                          <w:marLeft w:val="0"/>
                                          <w:marRight w:val="0"/>
                                          <w:marTop w:val="0"/>
                                          <w:marBottom w:val="0"/>
                                          <w:divBdr>
                                            <w:top w:val="none" w:sz="0" w:space="0" w:color="auto"/>
                                            <w:left w:val="none" w:sz="0" w:space="0" w:color="auto"/>
                                            <w:bottom w:val="none" w:sz="0" w:space="0" w:color="auto"/>
                                            <w:right w:val="none" w:sz="0" w:space="0" w:color="auto"/>
                                          </w:divBdr>
                                          <w:divsChild>
                                            <w:div w:id="479075790">
                                              <w:marLeft w:val="0"/>
                                              <w:marRight w:val="0"/>
                                              <w:marTop w:val="0"/>
                                              <w:marBottom w:val="0"/>
                                              <w:divBdr>
                                                <w:top w:val="none" w:sz="0" w:space="0" w:color="auto"/>
                                                <w:left w:val="none" w:sz="0" w:space="0" w:color="auto"/>
                                                <w:bottom w:val="none" w:sz="0" w:space="0" w:color="auto"/>
                                                <w:right w:val="none" w:sz="0" w:space="0" w:color="auto"/>
                                              </w:divBdr>
                                              <w:divsChild>
                                                <w:div w:id="497618382">
                                                  <w:marLeft w:val="0"/>
                                                  <w:marRight w:val="0"/>
                                                  <w:marTop w:val="0"/>
                                                  <w:marBottom w:val="0"/>
                                                  <w:divBdr>
                                                    <w:top w:val="none" w:sz="0" w:space="0" w:color="auto"/>
                                                    <w:left w:val="none" w:sz="0" w:space="0" w:color="auto"/>
                                                    <w:bottom w:val="none" w:sz="0" w:space="0" w:color="auto"/>
                                                    <w:right w:val="none" w:sz="0" w:space="0" w:color="auto"/>
                                                  </w:divBdr>
                                                  <w:divsChild>
                                                    <w:div w:id="1631470320">
                                                      <w:marLeft w:val="0"/>
                                                      <w:marRight w:val="0"/>
                                                      <w:marTop w:val="0"/>
                                                      <w:marBottom w:val="0"/>
                                                      <w:divBdr>
                                                        <w:top w:val="none" w:sz="0" w:space="0" w:color="auto"/>
                                                        <w:left w:val="none" w:sz="0" w:space="0" w:color="auto"/>
                                                        <w:bottom w:val="none" w:sz="0" w:space="0" w:color="auto"/>
                                                        <w:right w:val="none" w:sz="0" w:space="0" w:color="auto"/>
                                                      </w:divBdr>
                                                      <w:divsChild>
                                                        <w:div w:id="1914392754">
                                                          <w:marLeft w:val="0"/>
                                                          <w:marRight w:val="0"/>
                                                          <w:marTop w:val="0"/>
                                                          <w:marBottom w:val="0"/>
                                                          <w:divBdr>
                                                            <w:top w:val="none" w:sz="0" w:space="0" w:color="auto"/>
                                                            <w:left w:val="none" w:sz="0" w:space="0" w:color="auto"/>
                                                            <w:bottom w:val="none" w:sz="0" w:space="0" w:color="auto"/>
                                                            <w:right w:val="none" w:sz="0" w:space="0" w:color="auto"/>
                                                          </w:divBdr>
                                                          <w:divsChild>
                                                            <w:div w:id="73400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01547662">
      <w:bodyDiv w:val="1"/>
      <w:marLeft w:val="0"/>
      <w:marRight w:val="0"/>
      <w:marTop w:val="0"/>
      <w:marBottom w:val="0"/>
      <w:divBdr>
        <w:top w:val="none" w:sz="0" w:space="0" w:color="auto"/>
        <w:left w:val="none" w:sz="0" w:space="0" w:color="auto"/>
        <w:bottom w:val="none" w:sz="0" w:space="0" w:color="auto"/>
        <w:right w:val="none" w:sz="0" w:space="0" w:color="auto"/>
      </w:divBdr>
    </w:div>
    <w:div w:id="620768127">
      <w:bodyDiv w:val="1"/>
      <w:marLeft w:val="0"/>
      <w:marRight w:val="0"/>
      <w:marTop w:val="0"/>
      <w:marBottom w:val="0"/>
      <w:divBdr>
        <w:top w:val="none" w:sz="0" w:space="0" w:color="auto"/>
        <w:left w:val="none" w:sz="0" w:space="0" w:color="auto"/>
        <w:bottom w:val="none" w:sz="0" w:space="0" w:color="auto"/>
        <w:right w:val="none" w:sz="0" w:space="0" w:color="auto"/>
      </w:divBdr>
    </w:div>
    <w:div w:id="1083183347">
      <w:bodyDiv w:val="1"/>
      <w:marLeft w:val="0"/>
      <w:marRight w:val="0"/>
      <w:marTop w:val="0"/>
      <w:marBottom w:val="0"/>
      <w:divBdr>
        <w:top w:val="none" w:sz="0" w:space="0" w:color="auto"/>
        <w:left w:val="none" w:sz="0" w:space="0" w:color="auto"/>
        <w:bottom w:val="none" w:sz="0" w:space="0" w:color="auto"/>
        <w:right w:val="none" w:sz="0" w:space="0" w:color="auto"/>
      </w:divBdr>
    </w:div>
    <w:div w:id="2006780148">
      <w:bodyDiv w:val="1"/>
      <w:marLeft w:val="0"/>
      <w:marRight w:val="0"/>
      <w:marTop w:val="0"/>
      <w:marBottom w:val="0"/>
      <w:divBdr>
        <w:top w:val="none" w:sz="0" w:space="0" w:color="auto"/>
        <w:left w:val="none" w:sz="0" w:space="0" w:color="auto"/>
        <w:bottom w:val="none" w:sz="0" w:space="0" w:color="auto"/>
        <w:right w:val="none" w:sz="0" w:space="0" w:color="auto"/>
      </w:divBdr>
    </w:div>
    <w:div w:id="204971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package" Target="embeddings/Microsoft_Office_Word_Document1.docx"/><Relationship Id="rId4" Type="http://schemas.openxmlformats.org/officeDocument/2006/relationships/settings" Target="settings.xml"/><Relationship Id="rId9" Type="http://schemas.openxmlformats.org/officeDocument/2006/relationships/hyperlink" Target="https://www.gov.uk/government/publications/the-green-book-appraisal-and-evaluation-in-central-governent" TargetMode="External"/><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A2305-A8C3-457B-9C3F-686B541DE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Pages>
  <Words>18067</Words>
  <Characters>102985</Characters>
  <Application>Microsoft Office Word</Application>
  <DocSecurity>0</DocSecurity>
  <Lines>858</Lines>
  <Paragraphs>241</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120811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Gill, Ross - BSS BS</dc:creator>
  <cp:lastModifiedBy>emma cooney</cp:lastModifiedBy>
  <cp:revision>3</cp:revision>
  <cp:lastPrinted>2015-12-18T09:16:00Z</cp:lastPrinted>
  <dcterms:created xsi:type="dcterms:W3CDTF">2016-01-29T17:33:00Z</dcterms:created>
  <dcterms:modified xsi:type="dcterms:W3CDTF">2016-01-29T17:57:00Z</dcterms:modified>
</cp:coreProperties>
</file>